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07D3B">
      <w:pPr>
        <w:wordWrap w:val="0"/>
        <w:topLinePunct/>
        <w:spacing w:line="360" w:lineRule="auto"/>
        <w:jc w:val="both"/>
        <w:outlineLvl w:val="1"/>
        <w:rPr>
          <w:rFonts w:hint="default" w:eastAsia="仿宋"/>
          <w:b/>
          <w:sz w:val="28"/>
          <w:szCs w:val="28"/>
          <w:lang w:val="en-US" w:eastAsia="zh-CN"/>
        </w:rPr>
      </w:pPr>
      <w:r>
        <w:rPr>
          <w:rFonts w:hint="eastAsia" w:eastAsia="仿宋"/>
          <w:b/>
          <w:sz w:val="28"/>
          <w:szCs w:val="28"/>
          <w:lang w:val="en-US" w:eastAsia="zh-CN"/>
        </w:rPr>
        <w:t>附件1</w:t>
      </w:r>
    </w:p>
    <w:p w14:paraId="6E1B605F">
      <w:pPr>
        <w:wordWrap w:val="0"/>
        <w:topLinePunct/>
        <w:spacing w:line="360" w:lineRule="auto"/>
        <w:jc w:val="center"/>
        <w:outlineLvl w:val="1"/>
        <w:rPr>
          <w:rFonts w:eastAsia="仿宋"/>
          <w:b/>
          <w:sz w:val="28"/>
          <w:szCs w:val="28"/>
        </w:rPr>
      </w:pPr>
      <w:r>
        <w:rPr>
          <w:rFonts w:eastAsia="仿宋"/>
          <w:b/>
          <w:sz w:val="28"/>
          <w:szCs w:val="28"/>
        </w:rPr>
        <w:t>采购需求说明</w:t>
      </w:r>
    </w:p>
    <w:p w14:paraId="06583DD7">
      <w:pPr>
        <w:pStyle w:val="11"/>
        <w:keepNext w:val="0"/>
        <w:keepLines w:val="0"/>
        <w:pageBreakBefore w:val="0"/>
        <w:widowControl w:val="0"/>
        <w:kinsoku/>
        <w:wordWrap w:val="0"/>
        <w:overflowPunct/>
        <w:topLinePunct/>
        <w:autoSpaceDE/>
        <w:autoSpaceDN/>
        <w:bidi w:val="0"/>
        <w:adjustRightInd/>
        <w:snapToGrid w:val="0"/>
        <w:spacing w:line="440" w:lineRule="exact"/>
        <w:ind w:firstLine="482" w:firstLineChars="200"/>
        <w:jc w:val="both"/>
        <w:textAlignment w:val="auto"/>
        <w:rPr>
          <w:rFonts w:hint="eastAsia" w:ascii="仿宋" w:hAnsi="仿宋" w:eastAsia="仿宋"/>
          <w:b/>
          <w:bCs/>
          <w:color w:val="000000"/>
          <w:sz w:val="24"/>
          <w:szCs w:val="24"/>
        </w:rPr>
      </w:pPr>
      <w:r>
        <w:rPr>
          <w:rFonts w:hint="eastAsia" w:ascii="仿宋" w:hAnsi="仿宋" w:eastAsia="仿宋"/>
          <w:b/>
          <w:bCs/>
          <w:color w:val="000000"/>
          <w:sz w:val="24"/>
          <w:szCs w:val="24"/>
        </w:rPr>
        <w:t>一、采购基本内容</w:t>
      </w:r>
    </w:p>
    <w:p w14:paraId="3109B00E">
      <w:pPr>
        <w:keepNext w:val="0"/>
        <w:keepLines w:val="0"/>
        <w:pageBreakBefore w:val="0"/>
        <w:widowControl w:val="0"/>
        <w:numPr>
          <w:ilvl w:val="0"/>
          <w:numId w:val="0"/>
        </w:numPr>
        <w:kinsoku/>
        <w:overflowPunct/>
        <w:autoSpaceDE/>
        <w:autoSpaceDN/>
        <w:bidi w:val="0"/>
        <w:adjustRightInd/>
        <w:spacing w:line="440" w:lineRule="exact"/>
        <w:ind w:leftChars="284"/>
        <w:textAlignment w:val="auto"/>
        <w:rPr>
          <w:rFonts w:hint="eastAsia" w:ascii="仿宋" w:hAnsi="仿宋" w:eastAsia="仿宋"/>
          <w:color w:val="000000"/>
          <w:sz w:val="24"/>
          <w:szCs w:val="24"/>
          <w:lang w:val="en-US" w:eastAsia="en-US"/>
        </w:rPr>
      </w:pPr>
      <w:r>
        <w:rPr>
          <w:rFonts w:hint="eastAsia" w:ascii="仿宋" w:hAnsi="仿宋" w:eastAsia="仿宋"/>
          <w:color w:val="000000"/>
          <w:sz w:val="24"/>
          <w:szCs w:val="24"/>
        </w:rPr>
        <w:t>本次采购</w:t>
      </w:r>
      <w:r>
        <w:rPr>
          <w:rFonts w:hint="eastAsia" w:ascii="仿宋" w:hAnsi="仿宋" w:eastAsia="仿宋"/>
          <w:color w:val="000000"/>
          <w:sz w:val="24"/>
          <w:szCs w:val="24"/>
          <w:lang w:val="en-US" w:eastAsia="en-US"/>
        </w:rPr>
        <w:t>选取供应商为</w:t>
      </w:r>
      <w:r>
        <w:rPr>
          <w:rFonts w:hint="eastAsia" w:ascii="仿宋" w:hAnsi="仿宋" w:eastAsia="仿宋"/>
          <w:color w:val="000000"/>
          <w:sz w:val="24"/>
          <w:szCs w:val="24"/>
          <w:lang w:val="en-US" w:eastAsia="zh-CN"/>
        </w:rPr>
        <w:t>人才会客厅</w:t>
      </w:r>
      <w:r>
        <w:rPr>
          <w:rFonts w:hint="eastAsia" w:ascii="仿宋" w:hAnsi="仿宋" w:eastAsia="仿宋"/>
          <w:color w:val="000000"/>
          <w:sz w:val="24"/>
          <w:szCs w:val="24"/>
          <w:lang w:val="en-US" w:eastAsia="en-US"/>
        </w:rPr>
        <w:t>提供</w:t>
      </w:r>
      <w:r>
        <w:rPr>
          <w:rFonts w:hint="eastAsia" w:ascii="仿宋" w:hAnsi="仿宋" w:eastAsia="仿宋" w:cs="仿宋"/>
          <w:sz w:val="24"/>
          <w:szCs w:val="24"/>
          <w:lang w:val="en-US" w:eastAsia="zh-CN"/>
        </w:rPr>
        <w:t>客房易耗品、杂件、订制品</w:t>
      </w:r>
      <w:r>
        <w:rPr>
          <w:rFonts w:hint="eastAsia" w:ascii="仿宋" w:hAnsi="仿宋" w:eastAsia="仿宋"/>
          <w:color w:val="000000"/>
          <w:sz w:val="24"/>
          <w:szCs w:val="24"/>
          <w:lang w:eastAsia="en-US"/>
        </w:rPr>
        <w:t>，</w:t>
      </w:r>
      <w:r>
        <w:rPr>
          <w:rFonts w:hint="eastAsia" w:ascii="仿宋" w:hAnsi="仿宋" w:eastAsia="仿宋"/>
          <w:color w:val="000000"/>
          <w:sz w:val="24"/>
          <w:szCs w:val="24"/>
          <w:lang w:val="en-US" w:eastAsia="en-US"/>
        </w:rPr>
        <w:t>包含</w:t>
      </w:r>
    </w:p>
    <w:p w14:paraId="3484A582">
      <w:pPr>
        <w:keepNext w:val="0"/>
        <w:keepLines w:val="0"/>
        <w:pageBreakBefore w:val="0"/>
        <w:widowControl w:val="0"/>
        <w:numPr>
          <w:ilvl w:val="0"/>
          <w:numId w:val="0"/>
        </w:numPr>
        <w:kinsoku/>
        <w:overflowPunct/>
        <w:autoSpaceDE/>
        <w:autoSpaceDN/>
        <w:bidi w:val="0"/>
        <w:adjustRightInd/>
        <w:spacing w:line="440" w:lineRule="exact"/>
        <w:textAlignment w:val="auto"/>
        <w:rPr>
          <w:rFonts w:hint="eastAsia" w:ascii="仿宋" w:hAnsi="仿宋" w:eastAsia="仿宋"/>
          <w:color w:val="000000"/>
          <w:sz w:val="24"/>
          <w:szCs w:val="24"/>
        </w:rPr>
      </w:pPr>
      <w:r>
        <w:rPr>
          <w:rFonts w:hint="eastAsia" w:ascii="仿宋" w:hAnsi="仿宋" w:eastAsia="仿宋"/>
          <w:color w:val="000000"/>
          <w:sz w:val="24"/>
          <w:szCs w:val="24"/>
          <w:lang w:val="en-US" w:eastAsia="zh-CN"/>
        </w:rPr>
        <w:t>设计</w:t>
      </w:r>
      <w:r>
        <w:rPr>
          <w:rFonts w:hint="eastAsia" w:ascii="仿宋" w:hAnsi="仿宋" w:eastAsia="仿宋"/>
          <w:color w:val="000000"/>
          <w:sz w:val="24"/>
          <w:szCs w:val="24"/>
          <w:lang w:eastAsia="en-US"/>
        </w:rPr>
        <w:t>、</w:t>
      </w:r>
      <w:r>
        <w:rPr>
          <w:rFonts w:hint="eastAsia" w:ascii="仿宋" w:hAnsi="仿宋" w:eastAsia="仿宋"/>
          <w:color w:val="000000"/>
          <w:sz w:val="24"/>
          <w:szCs w:val="24"/>
          <w:lang w:val="en-US" w:eastAsia="zh-CN"/>
        </w:rPr>
        <w:t>定制、</w:t>
      </w:r>
      <w:r>
        <w:rPr>
          <w:rFonts w:hint="eastAsia" w:ascii="仿宋" w:hAnsi="仿宋" w:eastAsia="仿宋"/>
          <w:color w:val="000000"/>
          <w:sz w:val="24"/>
          <w:szCs w:val="24"/>
          <w:lang w:val="en-US" w:eastAsia="en-US"/>
        </w:rPr>
        <w:t>制作</w:t>
      </w:r>
      <w:r>
        <w:rPr>
          <w:rFonts w:hint="eastAsia" w:ascii="仿宋" w:hAnsi="仿宋" w:eastAsia="仿宋"/>
          <w:color w:val="000000"/>
          <w:sz w:val="24"/>
          <w:szCs w:val="24"/>
          <w:lang w:eastAsia="en-US"/>
        </w:rPr>
        <w:t>、</w:t>
      </w:r>
      <w:r>
        <w:rPr>
          <w:rFonts w:hint="eastAsia" w:ascii="仿宋" w:hAnsi="仿宋" w:eastAsia="仿宋"/>
          <w:color w:val="000000"/>
          <w:sz w:val="24"/>
          <w:szCs w:val="24"/>
          <w:lang w:val="en-US" w:eastAsia="en-US"/>
        </w:rPr>
        <w:t>配送</w:t>
      </w:r>
      <w:r>
        <w:rPr>
          <w:rFonts w:hint="eastAsia" w:ascii="仿宋" w:hAnsi="仿宋" w:eastAsia="仿宋"/>
          <w:color w:val="000000"/>
          <w:sz w:val="24"/>
          <w:szCs w:val="24"/>
          <w:lang w:eastAsia="en-US"/>
        </w:rPr>
        <w:t>、</w:t>
      </w:r>
      <w:r>
        <w:rPr>
          <w:rFonts w:hint="eastAsia" w:ascii="仿宋" w:hAnsi="仿宋" w:eastAsia="仿宋"/>
          <w:color w:val="000000"/>
          <w:sz w:val="24"/>
          <w:szCs w:val="24"/>
          <w:lang w:val="en-US" w:eastAsia="en-US"/>
        </w:rPr>
        <w:t>售后等一系列服务</w:t>
      </w:r>
      <w:r>
        <w:rPr>
          <w:rFonts w:hint="eastAsia" w:ascii="仿宋" w:hAnsi="仿宋" w:eastAsia="仿宋"/>
          <w:color w:val="000000"/>
          <w:sz w:val="24"/>
          <w:szCs w:val="24"/>
          <w:lang w:val="en-US" w:eastAsia="zh-CN"/>
        </w:rPr>
        <w:t>。</w:t>
      </w:r>
    </w:p>
    <w:p w14:paraId="4BC5BEC1">
      <w:pPr>
        <w:pStyle w:val="11"/>
        <w:keepNext w:val="0"/>
        <w:keepLines w:val="0"/>
        <w:pageBreakBefore w:val="0"/>
        <w:widowControl w:val="0"/>
        <w:kinsoku/>
        <w:wordWrap w:val="0"/>
        <w:overflowPunct/>
        <w:topLinePunct/>
        <w:autoSpaceDE/>
        <w:autoSpaceDN/>
        <w:bidi w:val="0"/>
        <w:adjustRightInd/>
        <w:snapToGrid w:val="0"/>
        <w:spacing w:line="440" w:lineRule="exact"/>
        <w:ind w:firstLine="482" w:firstLineChars="200"/>
        <w:jc w:val="both"/>
        <w:textAlignment w:val="auto"/>
        <w:rPr>
          <w:rFonts w:hint="eastAsia" w:ascii="仿宋" w:hAnsi="仿宋" w:eastAsia="仿宋"/>
          <w:b/>
          <w:bCs/>
          <w:color w:val="000000"/>
          <w:sz w:val="24"/>
          <w:szCs w:val="24"/>
          <w:lang w:val="en-US" w:eastAsia="zh-CN"/>
        </w:rPr>
      </w:pPr>
      <w:r>
        <w:rPr>
          <w:rFonts w:hint="eastAsia" w:ascii="仿宋" w:hAnsi="仿宋" w:eastAsia="仿宋"/>
          <w:b/>
          <w:bCs/>
          <w:color w:val="000000"/>
          <w:sz w:val="24"/>
          <w:szCs w:val="24"/>
          <w:lang w:val="en-US" w:eastAsia="zh-CN"/>
        </w:rPr>
        <w:t>二</w:t>
      </w:r>
      <w:r>
        <w:rPr>
          <w:rFonts w:hint="eastAsia" w:ascii="仿宋" w:hAnsi="仿宋" w:eastAsia="仿宋"/>
          <w:b/>
          <w:bCs/>
          <w:color w:val="000000"/>
          <w:sz w:val="24"/>
          <w:szCs w:val="24"/>
        </w:rPr>
        <w:t>、采购要求</w:t>
      </w:r>
    </w:p>
    <w:p w14:paraId="10373FB5">
      <w:pPr>
        <w:wordWrap w:val="0"/>
        <w:topLinePunct/>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（一）投标时应满足</w:t>
      </w:r>
      <w:r>
        <w:rPr>
          <w:rFonts w:hint="eastAsia" w:ascii="仿宋" w:hAnsi="仿宋" w:eastAsia="仿宋" w:cs="仿宋"/>
          <w:sz w:val="24"/>
          <w:szCs w:val="24"/>
          <w:lang w:val="en-US" w:eastAsia="zh-CN"/>
        </w:rPr>
        <w:t>客房易耗品、杂件、订制品采购清单中品名、图片、形制需求</w:t>
      </w:r>
      <w:r>
        <w:rPr>
          <w:rFonts w:hint="eastAsia" w:ascii="仿宋" w:hAnsi="仿宋" w:eastAsia="仿宋"/>
          <w:color w:val="000000"/>
          <w:sz w:val="24"/>
          <w:szCs w:val="24"/>
        </w:rPr>
        <w:t>等</w:t>
      </w:r>
      <w:r>
        <w:rPr>
          <w:rFonts w:hint="eastAsia" w:ascii="仿宋" w:hAnsi="仿宋" w:eastAsia="仿宋"/>
          <w:color w:val="000000"/>
          <w:sz w:val="24"/>
          <w:szCs w:val="24"/>
          <w:lang w:val="en-US" w:eastAsia="en-US"/>
        </w:rPr>
        <w:t>要求</w:t>
      </w:r>
      <w:r>
        <w:rPr>
          <w:rFonts w:hint="eastAsia" w:ascii="仿宋" w:hAnsi="仿宋" w:eastAsia="仿宋"/>
          <w:color w:val="000000"/>
          <w:sz w:val="24"/>
          <w:szCs w:val="24"/>
          <w:lang w:eastAsia="en-US"/>
        </w:rPr>
        <w:t>，</w:t>
      </w:r>
      <w:r>
        <w:rPr>
          <w:rFonts w:hint="eastAsia" w:ascii="仿宋" w:hAnsi="仿宋" w:eastAsia="仿宋"/>
          <w:color w:val="000000"/>
          <w:sz w:val="24"/>
          <w:szCs w:val="24"/>
          <w:lang w:val="en-US" w:eastAsia="en-US"/>
        </w:rPr>
        <w:t>产品质量要求符合国家一等品标准</w:t>
      </w:r>
      <w:r>
        <w:rPr>
          <w:rFonts w:hint="eastAsia" w:ascii="仿宋" w:hAnsi="仿宋" w:eastAsia="仿宋"/>
          <w:color w:val="000000"/>
          <w:sz w:val="24"/>
          <w:szCs w:val="24"/>
          <w:lang w:val="en-US" w:eastAsia="zh-CN"/>
        </w:rPr>
        <w:t>，</w:t>
      </w:r>
      <w:r>
        <w:rPr>
          <w:rFonts w:hint="eastAsia" w:ascii="仿宋" w:hAnsi="仿宋" w:eastAsia="仿宋"/>
          <w:bCs/>
          <w:sz w:val="24"/>
          <w:szCs w:val="24"/>
        </w:rPr>
        <w:t>满足国家及地方对环保的相关要求。</w:t>
      </w:r>
    </w:p>
    <w:p w14:paraId="4C055131">
      <w:pPr>
        <w:pStyle w:val="11"/>
        <w:keepNext w:val="0"/>
        <w:keepLines w:val="0"/>
        <w:pageBreakBefore w:val="0"/>
        <w:widowControl w:val="0"/>
        <w:kinsoku/>
        <w:wordWrap w:val="0"/>
        <w:overflowPunct/>
        <w:topLinePunct/>
        <w:autoSpaceDE/>
        <w:autoSpaceDN/>
        <w:bidi w:val="0"/>
        <w:adjustRightInd/>
        <w:snapToGrid w:val="0"/>
        <w:spacing w:line="440" w:lineRule="exact"/>
        <w:ind w:firstLine="480" w:firstLineChars="200"/>
        <w:jc w:val="both"/>
        <w:textAlignment w:val="auto"/>
        <w:rPr>
          <w:rFonts w:hint="eastAsia" w:ascii="仿宋" w:hAnsi="仿宋" w:eastAsia="仿宋"/>
          <w:color w:val="000000"/>
          <w:sz w:val="24"/>
          <w:szCs w:val="24"/>
          <w:lang w:eastAsia="zh-CN"/>
        </w:rPr>
      </w:pPr>
      <w:r>
        <w:rPr>
          <w:rFonts w:hint="eastAsia" w:ascii="仿宋" w:hAnsi="仿宋" w:eastAsia="仿宋"/>
          <w:color w:val="000000"/>
          <w:sz w:val="24"/>
          <w:szCs w:val="24"/>
        </w:rPr>
        <w:t>（二）投标报价包括采购、运输、人工、售后、验收、</w:t>
      </w:r>
      <w:r>
        <w:rPr>
          <w:rFonts w:hint="eastAsia" w:ascii="仿宋" w:hAnsi="仿宋" w:eastAsia="仿宋"/>
          <w:color w:val="000000"/>
          <w:sz w:val="24"/>
          <w:szCs w:val="24"/>
          <w:lang w:val="en-US" w:eastAsia="zh-CN"/>
        </w:rPr>
        <w:t>税费</w:t>
      </w:r>
      <w:r>
        <w:rPr>
          <w:rFonts w:hint="eastAsia" w:ascii="仿宋" w:hAnsi="仿宋" w:eastAsia="仿宋"/>
          <w:color w:val="000000"/>
          <w:sz w:val="24"/>
          <w:szCs w:val="24"/>
        </w:rPr>
        <w:t>等所有费用</w:t>
      </w:r>
      <w:r>
        <w:rPr>
          <w:rFonts w:hint="eastAsia" w:ascii="仿宋" w:hAnsi="仿宋" w:eastAsia="仿宋"/>
          <w:color w:val="000000"/>
          <w:sz w:val="24"/>
          <w:szCs w:val="24"/>
          <w:lang w:eastAsia="zh-CN"/>
        </w:rPr>
        <w:t>。</w:t>
      </w:r>
    </w:p>
    <w:p w14:paraId="6F209C0B">
      <w:pPr>
        <w:pStyle w:val="11"/>
        <w:keepNext w:val="0"/>
        <w:keepLines w:val="0"/>
        <w:pageBreakBefore w:val="0"/>
        <w:widowControl w:val="0"/>
        <w:kinsoku/>
        <w:wordWrap w:val="0"/>
        <w:overflowPunct/>
        <w:topLinePunct/>
        <w:autoSpaceDE/>
        <w:autoSpaceDN/>
        <w:bidi w:val="0"/>
        <w:adjustRightInd/>
        <w:snapToGrid w:val="0"/>
        <w:spacing w:line="440" w:lineRule="exact"/>
        <w:ind w:firstLine="480" w:firstLineChars="200"/>
        <w:jc w:val="both"/>
        <w:textAlignment w:val="auto"/>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注：投</w:t>
      </w:r>
      <w:r>
        <w:rPr>
          <w:rFonts w:ascii="仿宋" w:hAnsi="仿宋" w:eastAsia="仿宋"/>
          <w:color w:val="000000"/>
          <w:sz w:val="24"/>
          <w:szCs w:val="24"/>
          <w:lang w:val="en-US" w:eastAsia="zh-CN"/>
        </w:rPr>
        <w:t>标单位需</w:t>
      </w:r>
      <w:r>
        <w:rPr>
          <w:rFonts w:hint="eastAsia" w:ascii="仿宋" w:hAnsi="仿宋" w:eastAsia="仿宋"/>
          <w:color w:val="000000"/>
          <w:sz w:val="24"/>
          <w:szCs w:val="24"/>
          <w:lang w:val="en-US" w:eastAsia="zh-CN"/>
        </w:rPr>
        <w:t>现场</w:t>
      </w:r>
      <w:r>
        <w:rPr>
          <w:rFonts w:ascii="仿宋" w:hAnsi="仿宋" w:eastAsia="仿宋"/>
          <w:color w:val="000000"/>
          <w:sz w:val="24"/>
          <w:szCs w:val="24"/>
          <w:lang w:val="en-US" w:eastAsia="zh-CN"/>
        </w:rPr>
        <w:t>提供</w:t>
      </w:r>
      <w:r>
        <w:rPr>
          <w:rFonts w:hint="eastAsia" w:ascii="仿宋" w:hAnsi="仿宋" w:eastAsia="仿宋" w:cs="仿宋"/>
          <w:sz w:val="24"/>
          <w:szCs w:val="24"/>
          <w:lang w:val="en-US" w:eastAsia="zh-CN"/>
        </w:rPr>
        <w:t>客房易耗品采购清单中所有</w:t>
      </w:r>
      <w:r>
        <w:rPr>
          <w:rFonts w:hint="eastAsia" w:ascii="仿宋" w:hAnsi="仿宋" w:eastAsia="仿宋"/>
          <w:color w:val="000000"/>
          <w:sz w:val="24"/>
          <w:szCs w:val="24"/>
          <w:lang w:val="en-US" w:eastAsia="zh-CN"/>
        </w:rPr>
        <w:t>样品</w:t>
      </w:r>
      <w:r>
        <w:rPr>
          <w:rFonts w:ascii="仿宋" w:hAnsi="仿宋" w:eastAsia="仿宋"/>
          <w:color w:val="000000"/>
          <w:sz w:val="24"/>
          <w:szCs w:val="24"/>
          <w:lang w:val="en-US" w:eastAsia="zh-CN"/>
        </w:rPr>
        <w:t>，未提供样</w:t>
      </w:r>
      <w:r>
        <w:rPr>
          <w:rFonts w:hint="eastAsia" w:ascii="仿宋" w:hAnsi="仿宋" w:eastAsia="仿宋"/>
          <w:color w:val="000000"/>
          <w:sz w:val="24"/>
          <w:szCs w:val="24"/>
          <w:lang w:val="en-US" w:eastAsia="zh-CN"/>
        </w:rPr>
        <w:t>品或</w:t>
      </w:r>
      <w:r>
        <w:rPr>
          <w:rFonts w:ascii="仿宋" w:hAnsi="仿宋" w:eastAsia="仿宋"/>
          <w:color w:val="000000"/>
          <w:sz w:val="24"/>
          <w:szCs w:val="24"/>
          <w:lang w:val="en-US" w:eastAsia="zh-CN"/>
        </w:rPr>
        <w:t>提供的样</w:t>
      </w:r>
      <w:r>
        <w:rPr>
          <w:rFonts w:hint="eastAsia" w:ascii="仿宋" w:hAnsi="仿宋" w:eastAsia="仿宋"/>
          <w:color w:val="000000"/>
          <w:sz w:val="24"/>
          <w:szCs w:val="24"/>
          <w:lang w:val="en-US" w:eastAsia="zh-CN"/>
        </w:rPr>
        <w:t>品</w:t>
      </w:r>
      <w:r>
        <w:rPr>
          <w:rFonts w:ascii="仿宋" w:hAnsi="仿宋" w:eastAsia="仿宋"/>
          <w:color w:val="000000"/>
          <w:sz w:val="24"/>
          <w:szCs w:val="24"/>
          <w:lang w:val="en-US" w:eastAsia="zh-CN"/>
        </w:rPr>
        <w:t>不全，评标时样</w:t>
      </w:r>
      <w:r>
        <w:rPr>
          <w:rFonts w:hint="eastAsia" w:ascii="仿宋" w:hAnsi="仿宋" w:eastAsia="仿宋"/>
          <w:color w:val="000000"/>
          <w:sz w:val="24"/>
          <w:szCs w:val="24"/>
          <w:lang w:val="en-US" w:eastAsia="zh-CN"/>
        </w:rPr>
        <w:t>品</w:t>
      </w:r>
      <w:r>
        <w:rPr>
          <w:rFonts w:ascii="仿宋" w:hAnsi="仿宋" w:eastAsia="仿宋"/>
          <w:color w:val="000000"/>
          <w:sz w:val="24"/>
          <w:szCs w:val="24"/>
          <w:lang w:val="en-US" w:eastAsia="zh-CN"/>
        </w:rPr>
        <w:t>项不得分</w:t>
      </w:r>
      <w:r>
        <w:rPr>
          <w:rFonts w:hint="eastAsia" w:ascii="仿宋" w:hAnsi="仿宋" w:eastAsia="仿宋"/>
          <w:color w:val="000000"/>
          <w:sz w:val="24"/>
          <w:szCs w:val="24"/>
          <w:lang w:val="en-US" w:eastAsia="zh-CN"/>
        </w:rPr>
        <w:t>。</w:t>
      </w:r>
    </w:p>
    <w:p w14:paraId="0749A4D1">
      <w:pPr>
        <w:wordWrap w:val="0"/>
        <w:topLinePunct/>
        <w:spacing w:line="360" w:lineRule="auto"/>
        <w:ind w:firstLine="482" w:firstLineChars="200"/>
        <w:rPr>
          <w:rFonts w:ascii="仿宋" w:hAnsi="仿宋" w:eastAsia="仿宋"/>
          <w:b/>
          <w:sz w:val="24"/>
          <w:szCs w:val="24"/>
        </w:rPr>
      </w:pPr>
      <w:r>
        <w:rPr>
          <w:rFonts w:hint="eastAsia" w:ascii="仿宋" w:hAnsi="仿宋" w:eastAsia="仿宋"/>
          <w:b/>
          <w:sz w:val="24"/>
          <w:szCs w:val="24"/>
          <w:lang w:val="en-US" w:eastAsia="zh-CN"/>
        </w:rPr>
        <w:t>三</w:t>
      </w:r>
      <w:r>
        <w:rPr>
          <w:rFonts w:hint="eastAsia" w:ascii="仿宋" w:hAnsi="仿宋" w:eastAsia="仿宋"/>
          <w:b/>
          <w:sz w:val="24"/>
          <w:szCs w:val="24"/>
        </w:rPr>
        <w:t>、报价要求</w:t>
      </w:r>
    </w:p>
    <w:p w14:paraId="55017D10">
      <w:pPr>
        <w:wordWrap w:val="0"/>
        <w:topLinePunct/>
        <w:spacing w:line="360" w:lineRule="auto"/>
        <w:ind w:firstLine="480" w:firstLineChars="200"/>
        <w:rPr>
          <w:rFonts w:hint="eastAsia" w:ascii="仿宋" w:hAnsi="仿宋" w:eastAsia="仿宋"/>
          <w:bCs/>
          <w:sz w:val="24"/>
          <w:szCs w:val="24"/>
        </w:rPr>
      </w:pPr>
      <w:r>
        <w:rPr>
          <w:rFonts w:hint="eastAsia" w:ascii="仿宋" w:hAnsi="仿宋" w:eastAsia="仿宋"/>
          <w:bCs/>
          <w:sz w:val="24"/>
          <w:szCs w:val="24"/>
        </w:rPr>
        <w:t>1、本项目为</w:t>
      </w:r>
      <w:r>
        <w:rPr>
          <w:rFonts w:hint="eastAsia" w:ascii="仿宋" w:hAnsi="仿宋" w:eastAsia="仿宋" w:cs="仿宋"/>
          <w:sz w:val="24"/>
          <w:szCs w:val="24"/>
          <w:lang w:val="en-US" w:eastAsia="zh-CN"/>
        </w:rPr>
        <w:t>客房易耗品、杂件、订制品</w:t>
      </w:r>
      <w:r>
        <w:rPr>
          <w:rFonts w:hint="eastAsia" w:ascii="仿宋" w:hAnsi="仿宋" w:eastAsia="仿宋"/>
          <w:bCs/>
          <w:sz w:val="24"/>
          <w:szCs w:val="24"/>
        </w:rPr>
        <w:t>总价包干，投标人的投标报价不得高于最高限价，否则投标无效。</w:t>
      </w:r>
    </w:p>
    <w:p w14:paraId="4BEC7A3D">
      <w:pPr>
        <w:wordWrap w:val="0"/>
        <w:topLinePunct/>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2</w:t>
      </w:r>
      <w:r>
        <w:rPr>
          <w:rFonts w:ascii="仿宋" w:hAnsi="仿宋" w:eastAsia="仿宋"/>
          <w:sz w:val="24"/>
        </w:rPr>
        <w:t>.</w:t>
      </w:r>
      <w:r>
        <w:rPr>
          <w:rFonts w:hint="eastAsia" w:ascii="仿宋" w:hAnsi="仿宋" w:eastAsia="仿宋"/>
          <w:sz w:val="24"/>
        </w:rPr>
        <w:t>投标报价应是</w:t>
      </w:r>
      <w:r>
        <w:rPr>
          <w:rFonts w:hint="eastAsia" w:ascii="仿宋" w:hAnsi="仿宋" w:eastAsia="仿宋"/>
          <w:sz w:val="24"/>
          <w:lang w:val="en-US" w:eastAsia="zh-CN"/>
        </w:rPr>
        <w:t>招标</w:t>
      </w:r>
      <w:r>
        <w:rPr>
          <w:rFonts w:hint="eastAsia" w:ascii="仿宋" w:hAnsi="仿宋" w:eastAsia="仿宋"/>
          <w:sz w:val="24"/>
        </w:rPr>
        <w:t>文件所确定的招标范围内全部工作内容的价格表现。其应当包括但不限于产品的深化设计、供应、加工制作、制作安装过程中的原材料损耗、供货、运输、装卸、堆放保管、物品摆放到现场指定位置、现场协调、安装调试、保险、检测、验收、成品保护、移交使用技术指导等交付使用前发生的所有工作，以及质量保修期内售后服务等履行合同标的全过程产生的所有成本和费用以及成交供应商应承担的一切税费，即采购人不再支付任何费用。各投标人应根据采购人提供的技术资料、清单，以及本工程实际情况和自身的综合实力进行报价。总报价以人民币元计。知识产权等由投标人在投标报价综合单价时综合考虑，以后不作任何调整。全部费用已包含在投标总报价及分项报价的各分项综合单价中。</w:t>
      </w:r>
    </w:p>
    <w:p w14:paraId="7A1BC354">
      <w:pPr>
        <w:wordWrap w:val="0"/>
        <w:topLinePunct/>
        <w:spacing w:line="360" w:lineRule="auto"/>
        <w:ind w:firstLine="482" w:firstLineChars="200"/>
        <w:rPr>
          <w:rFonts w:eastAsia="仿宋"/>
          <w:b/>
          <w:sz w:val="24"/>
          <w:szCs w:val="24"/>
        </w:rPr>
      </w:pPr>
      <w:r>
        <w:rPr>
          <w:rFonts w:hint="eastAsia" w:eastAsia="仿宋"/>
          <w:b/>
          <w:sz w:val="24"/>
          <w:szCs w:val="24"/>
          <w:lang w:val="en-US" w:eastAsia="zh-CN"/>
        </w:rPr>
        <w:t>四、</w:t>
      </w:r>
      <w:r>
        <w:rPr>
          <w:rFonts w:hint="eastAsia" w:eastAsia="仿宋"/>
          <w:b/>
          <w:sz w:val="24"/>
          <w:szCs w:val="24"/>
        </w:rPr>
        <w:t>其他要求</w:t>
      </w:r>
    </w:p>
    <w:p w14:paraId="01FFEC4B">
      <w:pPr>
        <w:wordWrap w:val="0"/>
        <w:topLinePunct/>
        <w:spacing w:line="360" w:lineRule="auto"/>
        <w:ind w:firstLine="480" w:firstLineChars="200"/>
        <w:rPr>
          <w:rFonts w:ascii="仿宋" w:hAnsi="仿宋" w:eastAsia="仿宋"/>
          <w:sz w:val="24"/>
          <w:szCs w:val="24"/>
        </w:rPr>
      </w:pPr>
      <w:r>
        <w:rPr>
          <w:rFonts w:hint="eastAsia" w:ascii="仿宋" w:hAnsi="仿宋" w:eastAsia="仿宋"/>
          <w:sz w:val="24"/>
          <w:szCs w:val="24"/>
        </w:rPr>
        <w:t>1、合同签订后，采购人有权要求成交供应商提供原材料、供货样品及检测报告，并有权指定第三方检测机构对样品进行核实性检测。如果样品检测不合格，相关损失由成交供应商承担，并赔偿采购人损失。</w:t>
      </w:r>
    </w:p>
    <w:p w14:paraId="1C3DE27F">
      <w:pPr>
        <w:wordWrap w:val="0"/>
        <w:topLinePunct/>
        <w:spacing w:line="360" w:lineRule="auto"/>
        <w:ind w:firstLine="480" w:firstLineChars="200"/>
        <w:rPr>
          <w:rFonts w:ascii="仿宋" w:hAnsi="仿宋" w:eastAsia="仿宋"/>
          <w:sz w:val="24"/>
          <w:szCs w:val="24"/>
        </w:rPr>
      </w:pPr>
      <w:r>
        <w:rPr>
          <w:rFonts w:hint="eastAsia" w:ascii="仿宋" w:hAnsi="仿宋" w:eastAsia="仿宋"/>
          <w:sz w:val="24"/>
          <w:szCs w:val="24"/>
        </w:rPr>
        <w:t>2、成交供应商提供产品的材料指标必须满足招标文件的要求，且所有</w:t>
      </w:r>
      <w:r>
        <w:rPr>
          <w:rFonts w:hint="eastAsia" w:ascii="仿宋" w:hAnsi="仿宋" w:eastAsia="仿宋"/>
          <w:sz w:val="24"/>
          <w:szCs w:val="24"/>
          <w:lang w:val="en-US" w:eastAsia="zh-CN"/>
        </w:rPr>
        <w:t>产品</w:t>
      </w:r>
      <w:r>
        <w:rPr>
          <w:rFonts w:hint="eastAsia" w:ascii="仿宋" w:hAnsi="仿宋" w:eastAsia="仿宋"/>
          <w:sz w:val="24"/>
          <w:szCs w:val="24"/>
        </w:rPr>
        <w:t>须满足或高于文件要求的</w:t>
      </w:r>
      <w:r>
        <w:rPr>
          <w:rFonts w:hint="eastAsia" w:ascii="仿宋" w:hAnsi="仿宋" w:eastAsia="仿宋"/>
          <w:sz w:val="24"/>
          <w:szCs w:val="24"/>
          <w:lang w:val="en-US" w:eastAsia="zh-CN"/>
        </w:rPr>
        <w:t>技术</w:t>
      </w:r>
      <w:r>
        <w:rPr>
          <w:rFonts w:hint="eastAsia" w:ascii="仿宋" w:hAnsi="仿宋" w:eastAsia="仿宋"/>
          <w:sz w:val="24"/>
          <w:szCs w:val="24"/>
        </w:rPr>
        <w:t>标准和供应商承诺的标准。</w:t>
      </w:r>
    </w:p>
    <w:p w14:paraId="3B867DFC">
      <w:pPr>
        <w:wordWrap w:val="0"/>
        <w:topLinePunct/>
        <w:spacing w:line="360" w:lineRule="auto"/>
        <w:ind w:firstLine="480" w:firstLineChars="200"/>
        <w:rPr>
          <w:rFonts w:ascii="仿宋" w:hAnsi="仿宋" w:eastAsia="仿宋"/>
          <w:sz w:val="24"/>
          <w:szCs w:val="24"/>
        </w:rPr>
      </w:pPr>
      <w:r>
        <w:rPr>
          <w:rFonts w:hint="eastAsia" w:ascii="仿宋" w:hAnsi="仿宋" w:eastAsia="仿宋"/>
          <w:sz w:val="24"/>
          <w:szCs w:val="24"/>
        </w:rPr>
        <w:t>3、对于</w:t>
      </w:r>
      <w:r>
        <w:rPr>
          <w:rFonts w:hint="eastAsia" w:ascii="仿宋" w:hAnsi="仿宋" w:eastAsia="仿宋"/>
          <w:sz w:val="24"/>
          <w:szCs w:val="24"/>
          <w:lang w:val="en-US" w:eastAsia="zh-CN"/>
        </w:rPr>
        <w:t>定制</w:t>
      </w:r>
      <w:r>
        <w:rPr>
          <w:rFonts w:hint="eastAsia" w:ascii="仿宋" w:hAnsi="仿宋" w:eastAsia="仿宋"/>
          <w:sz w:val="24"/>
          <w:szCs w:val="24"/>
        </w:rPr>
        <w:t>产品，成交供应商必须经采购人确认所有款式及颜色后才可生产。</w:t>
      </w:r>
    </w:p>
    <w:p w14:paraId="724D6FBB">
      <w:pPr>
        <w:wordWrap w:val="0"/>
        <w:topLinePunct/>
        <w:spacing w:line="360" w:lineRule="auto"/>
        <w:ind w:firstLine="480" w:firstLineChars="200"/>
        <w:rPr>
          <w:rFonts w:ascii="仿宋" w:hAnsi="仿宋" w:eastAsia="仿宋"/>
          <w:sz w:val="24"/>
          <w:szCs w:val="24"/>
        </w:rPr>
      </w:pPr>
      <w:r>
        <w:rPr>
          <w:rFonts w:hint="eastAsia" w:ascii="仿宋" w:hAnsi="仿宋" w:eastAsia="仿宋"/>
          <w:sz w:val="24"/>
          <w:szCs w:val="24"/>
        </w:rPr>
        <w:t>4、采购人有权对产品生产情况进行实地不定期监督及抽检，供方应予以配合；如有不合格或某项超标的产品，采购人有权拒收全部货物，所有损失由成交供应商承担。</w:t>
      </w:r>
    </w:p>
    <w:p w14:paraId="1000CB93">
      <w:pPr>
        <w:pStyle w:val="11"/>
        <w:keepNext w:val="0"/>
        <w:keepLines w:val="0"/>
        <w:pageBreakBefore w:val="0"/>
        <w:widowControl w:val="0"/>
        <w:kinsoku/>
        <w:wordWrap w:val="0"/>
        <w:overflowPunct/>
        <w:topLinePunct/>
        <w:autoSpaceDE/>
        <w:autoSpaceDN/>
        <w:bidi w:val="0"/>
        <w:adjustRightInd/>
        <w:snapToGrid w:val="0"/>
        <w:spacing w:line="440" w:lineRule="exact"/>
        <w:jc w:val="both"/>
        <w:textAlignment w:val="auto"/>
        <w:rPr>
          <w:rFonts w:hint="eastAsia" w:ascii="仿宋" w:hAnsi="仿宋" w:eastAsia="仿宋"/>
          <w:color w:val="000000"/>
          <w:sz w:val="24"/>
          <w:szCs w:val="24"/>
          <w:lang w:val="en-US" w:eastAsia="zh-CN"/>
        </w:rPr>
      </w:pPr>
    </w:p>
    <w:p w14:paraId="175763BD">
      <w:pPr>
        <w:widowControl w:val="0"/>
        <w:spacing w:after="0" w:line="540" w:lineRule="exact"/>
        <w:jc w:val="center"/>
        <w:rPr>
          <w:rFonts w:hint="eastAsia" w:ascii="仿宋" w:hAnsi="仿宋" w:eastAsia="仿宋" w:cs="仿宋"/>
          <w:sz w:val="24"/>
          <w:szCs w:val="24"/>
        </w:rPr>
      </w:pPr>
      <w:r>
        <w:rPr>
          <w:rFonts w:hint="eastAsia" w:ascii="仿宋" w:hAnsi="仿宋" w:eastAsia="仿宋" w:cs="仿宋"/>
          <w:sz w:val="24"/>
          <w:szCs w:val="24"/>
        </w:rPr>
        <w:t>采购项目简介</w:t>
      </w:r>
    </w:p>
    <w:p w14:paraId="462394F5">
      <w:pPr>
        <w:widowControl w:val="0"/>
        <w:spacing w:after="0" w:line="540" w:lineRule="exact"/>
        <w:jc w:val="both"/>
        <w:rPr>
          <w:rFonts w:hint="eastAsia" w:ascii="仿宋" w:hAnsi="仿宋" w:eastAsia="仿宋" w:cs="仿宋"/>
          <w:sz w:val="24"/>
          <w:szCs w:val="24"/>
        </w:rPr>
      </w:pPr>
      <w:r>
        <w:rPr>
          <w:rFonts w:hint="eastAsia" w:ascii="仿宋" w:hAnsi="仿宋" w:eastAsia="仿宋" w:cs="仿宋"/>
          <w:sz w:val="24"/>
          <w:szCs w:val="24"/>
        </w:rPr>
        <w:t>本次招标根据商品种类划分为三类共一个合同包。</w:t>
      </w:r>
    </w:p>
    <w:tbl>
      <w:tblPr>
        <w:tblStyle w:val="8"/>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5953"/>
        <w:gridCol w:w="1076"/>
      </w:tblGrid>
      <w:tr w14:paraId="7210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D865F7">
            <w:pPr>
              <w:widowControl w:val="0"/>
              <w:spacing w:after="0" w:line="240" w:lineRule="exact"/>
              <w:rPr>
                <w:rFonts w:hint="eastAsia" w:ascii="仿宋" w:hAnsi="仿宋" w:eastAsia="仿宋" w:cs="仿宋"/>
                <w:sz w:val="24"/>
                <w:szCs w:val="24"/>
              </w:rPr>
            </w:pPr>
            <w:r>
              <w:rPr>
                <w:rFonts w:hint="eastAsia" w:ascii="仿宋" w:hAnsi="仿宋" w:eastAsia="仿宋" w:cs="仿宋"/>
                <w:sz w:val="24"/>
                <w:szCs w:val="24"/>
              </w:rPr>
              <w:t>序号</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E6CB62">
            <w:pPr>
              <w:widowControl w:val="0"/>
              <w:spacing w:after="0" w:line="240" w:lineRule="exact"/>
              <w:rPr>
                <w:rFonts w:hint="eastAsia" w:ascii="仿宋" w:hAnsi="仿宋" w:eastAsia="仿宋" w:cs="仿宋"/>
                <w:sz w:val="24"/>
                <w:szCs w:val="24"/>
              </w:rPr>
            </w:pPr>
            <w:r>
              <w:rPr>
                <w:rFonts w:hint="eastAsia" w:ascii="仿宋" w:hAnsi="仿宋" w:eastAsia="仿宋" w:cs="仿宋"/>
                <w:sz w:val="24"/>
                <w:szCs w:val="24"/>
              </w:rPr>
              <w:t>项目类别</w:t>
            </w:r>
          </w:p>
        </w:tc>
        <w:tc>
          <w:tcPr>
            <w:tcW w:w="59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1AF9E2">
            <w:pPr>
              <w:widowControl w:val="0"/>
              <w:spacing w:after="0" w:line="240" w:lineRule="exact"/>
              <w:jc w:val="center"/>
              <w:rPr>
                <w:rFonts w:hint="eastAsia" w:ascii="仿宋" w:hAnsi="仿宋" w:eastAsia="仿宋" w:cs="仿宋"/>
                <w:sz w:val="24"/>
                <w:szCs w:val="24"/>
              </w:rPr>
            </w:pPr>
            <w:r>
              <w:rPr>
                <w:rFonts w:hint="eastAsia" w:ascii="仿宋" w:hAnsi="仿宋" w:eastAsia="仿宋" w:cs="仿宋"/>
                <w:sz w:val="24"/>
                <w:szCs w:val="24"/>
              </w:rPr>
              <w:t>合同包</w:t>
            </w:r>
          </w:p>
        </w:tc>
        <w:tc>
          <w:tcPr>
            <w:tcW w:w="10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0BD528">
            <w:pPr>
              <w:widowControl w:val="0"/>
              <w:spacing w:after="0" w:line="24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备注</w:t>
            </w:r>
          </w:p>
        </w:tc>
      </w:tr>
      <w:tr w14:paraId="52EB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89AB71">
            <w:pPr>
              <w:widowControl w:val="0"/>
              <w:spacing w:after="0" w:line="2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19A0EF">
            <w:pPr>
              <w:widowControl w:val="0"/>
              <w:spacing w:after="0" w:line="240" w:lineRule="exact"/>
              <w:jc w:val="center"/>
              <w:rPr>
                <w:rFonts w:hint="eastAsia" w:ascii="仿宋" w:hAnsi="仿宋" w:eastAsia="仿宋" w:cs="仿宋"/>
                <w:sz w:val="24"/>
                <w:szCs w:val="24"/>
              </w:rPr>
            </w:pPr>
            <w:r>
              <w:rPr>
                <w:rFonts w:hint="eastAsia" w:ascii="仿宋" w:hAnsi="仿宋" w:eastAsia="仿宋" w:cs="仿宋"/>
                <w:sz w:val="24"/>
                <w:szCs w:val="24"/>
              </w:rPr>
              <w:t>客房易耗品</w:t>
            </w:r>
          </w:p>
        </w:tc>
        <w:tc>
          <w:tcPr>
            <w:tcW w:w="59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7E74FC">
            <w:pPr>
              <w:widowControl w:val="0"/>
              <w:spacing w:after="0" w:line="24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主要包括以下商品：珊瑚绒拖鞋、香皂、牙刷套装A、牙刷套装B、擦鞋布、润肤露、洗发液、沐浴液、梳子、须刨、护理包针线盒、浴帽等。</w:t>
            </w:r>
          </w:p>
        </w:tc>
        <w:tc>
          <w:tcPr>
            <w:tcW w:w="10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5047CB">
            <w:pPr>
              <w:widowControl w:val="0"/>
              <w:spacing w:after="0" w:line="240" w:lineRule="exact"/>
              <w:ind w:firstLine="480" w:firstLineChars="200"/>
              <w:jc w:val="center"/>
              <w:rPr>
                <w:rFonts w:hint="eastAsia" w:ascii="仿宋" w:hAnsi="仿宋" w:eastAsia="仿宋" w:cs="仿宋"/>
                <w:sz w:val="24"/>
                <w:szCs w:val="24"/>
              </w:rPr>
            </w:pPr>
          </w:p>
        </w:tc>
      </w:tr>
      <w:tr w14:paraId="6807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64A973">
            <w:pPr>
              <w:widowControl w:val="0"/>
              <w:spacing w:after="0" w:line="24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C3AA1A">
            <w:pPr>
              <w:widowControl w:val="0"/>
              <w:spacing w:after="0" w:line="240" w:lineRule="exact"/>
              <w:jc w:val="center"/>
              <w:rPr>
                <w:rFonts w:hint="eastAsia" w:ascii="仿宋" w:hAnsi="仿宋" w:eastAsia="仿宋" w:cs="仿宋"/>
                <w:sz w:val="24"/>
                <w:szCs w:val="24"/>
              </w:rPr>
            </w:pPr>
            <w:r>
              <w:rPr>
                <w:rFonts w:hint="eastAsia" w:ascii="仿宋" w:hAnsi="仿宋" w:eastAsia="仿宋" w:cs="仿宋"/>
                <w:sz w:val="24"/>
                <w:szCs w:val="24"/>
              </w:rPr>
              <w:t>客房杂件</w:t>
            </w:r>
          </w:p>
        </w:tc>
        <w:tc>
          <w:tcPr>
            <w:tcW w:w="59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76BB9C">
            <w:pPr>
              <w:widowControl w:val="0"/>
              <w:spacing w:after="0" w:line="24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主要包括以下商品：</w:t>
            </w:r>
            <w:r>
              <w:rPr>
                <w:rFonts w:hint="eastAsia" w:ascii="仿宋" w:hAnsi="仿宋" w:eastAsia="仿宋" w:cs="仿宋"/>
                <w:color w:val="000000"/>
                <w:sz w:val="24"/>
                <w:szCs w:val="24"/>
                <w:shd w:val="clear" w:color="auto" w:fill="FFFFFF"/>
              </w:rPr>
              <w:t>客房服务车、垃圾桶、雨伞架、脏衣篓、布草车、茶盘、水杯等</w:t>
            </w:r>
          </w:p>
        </w:tc>
        <w:tc>
          <w:tcPr>
            <w:tcW w:w="10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6F23BB">
            <w:pPr>
              <w:widowControl w:val="0"/>
              <w:spacing w:after="0" w:line="240" w:lineRule="exact"/>
              <w:ind w:firstLine="480" w:firstLineChars="200"/>
              <w:jc w:val="center"/>
              <w:rPr>
                <w:rFonts w:hint="eastAsia" w:ascii="仿宋" w:hAnsi="仿宋" w:eastAsia="仿宋" w:cs="仿宋"/>
                <w:sz w:val="24"/>
                <w:szCs w:val="24"/>
              </w:rPr>
            </w:pPr>
          </w:p>
        </w:tc>
      </w:tr>
      <w:tr w14:paraId="76AE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C2D192">
            <w:pPr>
              <w:widowControl w:val="0"/>
              <w:spacing w:after="0" w:line="24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5639AE">
            <w:pPr>
              <w:widowControl w:val="0"/>
              <w:spacing w:after="0" w:line="240" w:lineRule="exact"/>
              <w:jc w:val="center"/>
              <w:rPr>
                <w:rFonts w:hint="eastAsia" w:ascii="仿宋" w:hAnsi="仿宋" w:eastAsia="仿宋" w:cs="仿宋"/>
                <w:sz w:val="24"/>
                <w:szCs w:val="24"/>
              </w:rPr>
            </w:pPr>
            <w:r>
              <w:rPr>
                <w:rFonts w:hint="eastAsia" w:ascii="仿宋" w:hAnsi="仿宋" w:eastAsia="仿宋" w:cs="仿宋"/>
                <w:sz w:val="24"/>
                <w:szCs w:val="24"/>
              </w:rPr>
              <w:t>客房订制品</w:t>
            </w:r>
          </w:p>
        </w:tc>
        <w:tc>
          <w:tcPr>
            <w:tcW w:w="59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37D8EB">
            <w:pPr>
              <w:widowControl w:val="0"/>
              <w:spacing w:after="0" w:line="24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主要包括以下商品：订制文件夹、订制抽纸盒、订制会议垫、订制托盘、订制鞋盒等</w:t>
            </w:r>
          </w:p>
        </w:tc>
        <w:tc>
          <w:tcPr>
            <w:tcW w:w="10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B767C7">
            <w:pPr>
              <w:widowControl w:val="0"/>
              <w:spacing w:after="0" w:line="240" w:lineRule="exact"/>
              <w:ind w:firstLine="480" w:firstLineChars="200"/>
              <w:jc w:val="center"/>
              <w:rPr>
                <w:rFonts w:hint="eastAsia" w:ascii="仿宋" w:hAnsi="仿宋" w:eastAsia="仿宋" w:cs="仿宋"/>
                <w:sz w:val="24"/>
                <w:szCs w:val="24"/>
              </w:rPr>
            </w:pPr>
          </w:p>
        </w:tc>
      </w:tr>
    </w:tbl>
    <w:p w14:paraId="164E7B12">
      <w:pPr>
        <w:pStyle w:val="2"/>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b/>
          <w:bCs w:val="0"/>
          <w:color w:val="auto"/>
          <w:sz w:val="28"/>
          <w:szCs w:val="28"/>
          <w:highlight w:val="none"/>
        </w:rPr>
        <w:t>评分</w:t>
      </w:r>
      <w:r>
        <w:rPr>
          <w:rFonts w:hint="eastAsia" w:ascii="仿宋" w:hAnsi="仿宋" w:eastAsia="仿宋" w:cs="仿宋"/>
          <w:b/>
          <w:bCs w:val="0"/>
          <w:color w:val="auto"/>
          <w:sz w:val="28"/>
          <w:szCs w:val="28"/>
          <w:highlight w:val="none"/>
          <w:lang w:eastAsia="zh-CN"/>
        </w:rPr>
        <w:t>细</w:t>
      </w:r>
      <w:r>
        <w:rPr>
          <w:rFonts w:hint="eastAsia" w:ascii="仿宋" w:hAnsi="仿宋" w:eastAsia="仿宋" w:cs="仿宋"/>
          <w:b/>
          <w:bCs w:val="0"/>
          <w:color w:val="auto"/>
          <w:sz w:val="28"/>
          <w:szCs w:val="28"/>
          <w:highlight w:val="none"/>
        </w:rPr>
        <w:t>则</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4"/>
          <w:szCs w:val="24"/>
          <w:highlight w:val="none"/>
        </w:rPr>
        <w:t xml:space="preserve"> </w:t>
      </w:r>
    </w:p>
    <w:p w14:paraId="03E4B0C0">
      <w:pPr>
        <w:numPr>
          <w:ilvl w:val="0"/>
          <w:numId w:val="0"/>
        </w:numPr>
        <w:wordWrap w:val="0"/>
        <w:topLinePunct/>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资格审查</w:t>
      </w:r>
    </w:p>
    <w:p w14:paraId="339CD1FF">
      <w:pPr>
        <w:pStyle w:val="7"/>
        <w:ind w:left="0"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评审</w:t>
      </w:r>
      <w:r>
        <w:rPr>
          <w:rFonts w:hint="eastAsia" w:ascii="仿宋" w:hAnsi="仿宋" w:eastAsia="仿宋" w:cs="仿宋"/>
          <w:sz w:val="24"/>
          <w:szCs w:val="24"/>
        </w:rPr>
        <w:t>小组对供应商的资格进行审查。当发现供应商或其响应文件存在下列情况之一时，将判定供应商的资格不符合要求，资格审查不通过。</w:t>
      </w:r>
    </w:p>
    <w:tbl>
      <w:tblPr>
        <w:tblStyle w:val="8"/>
        <w:tblW w:w="8695"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961"/>
        <w:gridCol w:w="2984"/>
        <w:gridCol w:w="4750"/>
      </w:tblGrid>
      <w:tr w14:paraId="2FD9F56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945" w:type="dxa"/>
            <w:gridSpan w:val="2"/>
            <w:tcBorders>
              <w:top w:val="outset" w:color="auto" w:sz="6" w:space="0"/>
              <w:left w:val="outset" w:color="auto" w:sz="6" w:space="0"/>
              <w:bottom w:val="outset" w:color="auto" w:sz="6" w:space="0"/>
              <w:right w:val="outset" w:color="auto" w:sz="6" w:space="0"/>
            </w:tcBorders>
            <w:vAlign w:val="center"/>
          </w:tcPr>
          <w:p w14:paraId="11DC002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审查内容</w:t>
            </w:r>
          </w:p>
        </w:tc>
        <w:tc>
          <w:tcPr>
            <w:tcW w:w="4750" w:type="dxa"/>
            <w:tcBorders>
              <w:top w:val="outset" w:color="auto" w:sz="6" w:space="0"/>
              <w:left w:val="outset" w:color="auto" w:sz="6" w:space="0"/>
              <w:bottom w:val="outset" w:color="auto" w:sz="6" w:space="0"/>
              <w:right w:val="outset" w:color="auto" w:sz="6" w:space="0"/>
            </w:tcBorders>
            <w:vAlign w:val="center"/>
          </w:tcPr>
          <w:p w14:paraId="6246AAC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审查标准</w:t>
            </w:r>
          </w:p>
        </w:tc>
      </w:tr>
      <w:tr w14:paraId="53F9638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3" w:hRule="atLeast"/>
        </w:trPr>
        <w:tc>
          <w:tcPr>
            <w:tcW w:w="961" w:type="dxa"/>
            <w:vMerge w:val="restart"/>
            <w:tcBorders>
              <w:top w:val="outset" w:color="auto" w:sz="6" w:space="0"/>
              <w:left w:val="outset" w:color="auto" w:sz="6" w:space="0"/>
              <w:right w:val="outset" w:color="auto" w:sz="6" w:space="0"/>
            </w:tcBorders>
            <w:vAlign w:val="center"/>
          </w:tcPr>
          <w:p w14:paraId="1849F41A">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资格性审查</w:t>
            </w:r>
          </w:p>
        </w:tc>
        <w:tc>
          <w:tcPr>
            <w:tcW w:w="2984" w:type="dxa"/>
            <w:tcBorders>
              <w:top w:val="outset" w:color="auto" w:sz="6" w:space="0"/>
              <w:left w:val="outset" w:color="auto" w:sz="6" w:space="0"/>
              <w:right w:val="outset" w:color="auto" w:sz="6" w:space="0"/>
            </w:tcBorders>
            <w:vAlign w:val="center"/>
          </w:tcPr>
          <w:p w14:paraId="70B3093E">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w:t>
            </w:r>
          </w:p>
        </w:tc>
        <w:tc>
          <w:tcPr>
            <w:tcW w:w="4750" w:type="dxa"/>
            <w:tcBorders>
              <w:top w:val="outset" w:color="auto" w:sz="6" w:space="0"/>
              <w:left w:val="outset" w:color="auto" w:sz="6" w:space="0"/>
              <w:bottom w:val="outset" w:color="auto" w:sz="6" w:space="0"/>
              <w:right w:val="outset" w:color="auto" w:sz="6" w:space="0"/>
            </w:tcBorders>
            <w:vAlign w:val="center"/>
          </w:tcPr>
          <w:p w14:paraId="0532772F">
            <w:pPr>
              <w:tabs>
                <w:tab w:val="center" w:pos="2378"/>
              </w:tabs>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未提供合法有效工商营业执照</w:t>
            </w:r>
          </w:p>
        </w:tc>
      </w:tr>
      <w:tr w14:paraId="52389D2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14:paraId="716C1C7B">
            <w:pPr>
              <w:jc w:val="left"/>
              <w:rPr>
                <w:rFonts w:hint="eastAsia" w:ascii="仿宋" w:hAnsi="仿宋" w:eastAsia="仿宋" w:cs="仿宋"/>
                <w:color w:val="auto"/>
                <w:sz w:val="24"/>
                <w:szCs w:val="24"/>
                <w:highlight w:val="none"/>
              </w:rPr>
            </w:pPr>
          </w:p>
        </w:tc>
        <w:tc>
          <w:tcPr>
            <w:tcW w:w="2984" w:type="dxa"/>
            <w:tcBorders>
              <w:top w:val="outset" w:color="auto" w:sz="6" w:space="0"/>
              <w:left w:val="outset" w:color="auto" w:sz="6" w:space="0"/>
              <w:bottom w:val="outset" w:color="auto" w:sz="6" w:space="0"/>
              <w:right w:val="outset" w:color="auto" w:sz="6" w:space="0"/>
            </w:tcBorders>
            <w:vAlign w:val="center"/>
          </w:tcPr>
          <w:p w14:paraId="4CC7E8F6">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资格条件</w:t>
            </w:r>
          </w:p>
        </w:tc>
        <w:tc>
          <w:tcPr>
            <w:tcW w:w="4750" w:type="dxa"/>
            <w:tcBorders>
              <w:top w:val="outset" w:color="auto" w:sz="6" w:space="0"/>
              <w:left w:val="outset" w:color="auto" w:sz="6" w:space="0"/>
              <w:bottom w:val="outset" w:color="auto" w:sz="6" w:space="0"/>
              <w:right w:val="outset" w:color="auto" w:sz="6" w:space="0"/>
            </w:tcBorders>
            <w:vAlign w:val="center"/>
          </w:tcPr>
          <w:p w14:paraId="3C92DCEB">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不符合</w:t>
            </w:r>
            <w:r>
              <w:rPr>
                <w:rFonts w:hint="eastAsia" w:ascii="仿宋" w:hAnsi="仿宋" w:eastAsia="仿宋" w:cs="仿宋"/>
                <w:color w:val="auto"/>
                <w:sz w:val="24"/>
                <w:szCs w:val="24"/>
                <w:highlight w:val="none"/>
                <w:lang w:val="en-US" w:eastAsia="zh-CN"/>
              </w:rPr>
              <w:t>询价公告和</w:t>
            </w:r>
            <w:r>
              <w:rPr>
                <w:rFonts w:hint="eastAsia" w:ascii="仿宋" w:hAnsi="仿宋" w:eastAsia="仿宋" w:cs="仿宋"/>
                <w:color w:val="auto"/>
                <w:sz w:val="24"/>
                <w:szCs w:val="24"/>
                <w:highlight w:val="none"/>
              </w:rPr>
              <w:t>招标文件要求</w:t>
            </w:r>
          </w:p>
        </w:tc>
      </w:tr>
      <w:tr w14:paraId="589DA11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14:paraId="30275CF9">
            <w:pPr>
              <w:jc w:val="left"/>
              <w:rPr>
                <w:rFonts w:hint="eastAsia" w:ascii="仿宋" w:hAnsi="仿宋" w:eastAsia="仿宋" w:cs="仿宋"/>
                <w:color w:val="auto"/>
                <w:sz w:val="24"/>
                <w:szCs w:val="24"/>
                <w:highlight w:val="none"/>
              </w:rPr>
            </w:pPr>
          </w:p>
        </w:tc>
        <w:tc>
          <w:tcPr>
            <w:tcW w:w="2984" w:type="dxa"/>
            <w:tcBorders>
              <w:top w:val="outset" w:color="auto" w:sz="6" w:space="0"/>
              <w:left w:val="outset" w:color="auto" w:sz="6" w:space="0"/>
              <w:bottom w:val="outset" w:color="auto" w:sz="6" w:space="0"/>
              <w:right w:val="outset" w:color="auto" w:sz="6" w:space="0"/>
            </w:tcBorders>
            <w:vAlign w:val="center"/>
          </w:tcPr>
          <w:p w14:paraId="6D7A3712">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法定代表人或授权委托人资格</w:t>
            </w:r>
          </w:p>
        </w:tc>
        <w:tc>
          <w:tcPr>
            <w:tcW w:w="4750" w:type="dxa"/>
            <w:tcBorders>
              <w:top w:val="outset" w:color="auto" w:sz="6" w:space="0"/>
              <w:left w:val="outset" w:color="auto" w:sz="6" w:space="0"/>
              <w:bottom w:val="outset" w:color="auto" w:sz="6" w:space="0"/>
              <w:right w:val="outset" w:color="auto" w:sz="6" w:space="0"/>
            </w:tcBorders>
            <w:vAlign w:val="center"/>
          </w:tcPr>
          <w:p w14:paraId="17EF9979">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不符合</w:t>
            </w:r>
            <w:r>
              <w:rPr>
                <w:rFonts w:hint="eastAsia" w:ascii="仿宋" w:hAnsi="仿宋" w:eastAsia="仿宋" w:cs="仿宋"/>
                <w:color w:val="auto"/>
                <w:sz w:val="24"/>
                <w:szCs w:val="24"/>
                <w:highlight w:val="none"/>
                <w:lang w:val="en-US" w:eastAsia="zh-CN"/>
              </w:rPr>
              <w:t>询价公告和</w:t>
            </w:r>
            <w:r>
              <w:rPr>
                <w:rFonts w:hint="eastAsia" w:ascii="仿宋" w:hAnsi="仿宋" w:eastAsia="仿宋" w:cs="仿宋"/>
                <w:color w:val="auto"/>
                <w:sz w:val="24"/>
                <w:szCs w:val="24"/>
                <w:highlight w:val="none"/>
              </w:rPr>
              <w:t>招标文件要求</w:t>
            </w:r>
          </w:p>
        </w:tc>
      </w:tr>
      <w:tr w14:paraId="3E9F845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14:paraId="332817EB">
            <w:pPr>
              <w:jc w:val="left"/>
              <w:rPr>
                <w:rFonts w:hint="eastAsia" w:ascii="仿宋" w:hAnsi="仿宋" w:eastAsia="仿宋" w:cs="仿宋"/>
                <w:color w:val="auto"/>
                <w:sz w:val="24"/>
                <w:szCs w:val="24"/>
                <w:highlight w:val="none"/>
              </w:rPr>
            </w:pPr>
          </w:p>
        </w:tc>
        <w:tc>
          <w:tcPr>
            <w:tcW w:w="2984" w:type="dxa"/>
            <w:tcBorders>
              <w:top w:val="outset" w:color="auto" w:sz="6" w:space="0"/>
              <w:left w:val="outset" w:color="auto" w:sz="6" w:space="0"/>
              <w:bottom w:val="outset" w:color="auto" w:sz="6" w:space="0"/>
              <w:right w:val="outset" w:color="auto" w:sz="6" w:space="0"/>
            </w:tcBorders>
            <w:vAlign w:val="center"/>
          </w:tcPr>
          <w:p w14:paraId="09015726">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4750" w:type="dxa"/>
            <w:tcBorders>
              <w:top w:val="outset" w:color="auto" w:sz="6" w:space="0"/>
              <w:left w:val="outset" w:color="auto" w:sz="6" w:space="0"/>
              <w:bottom w:val="outset" w:color="auto" w:sz="6" w:space="0"/>
              <w:right w:val="outset" w:color="auto" w:sz="6" w:space="0"/>
            </w:tcBorders>
            <w:vAlign w:val="center"/>
          </w:tcPr>
          <w:p w14:paraId="0665526E">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供应商被行政监督部门作出禁止投标处罚且在有效期内的，或其他违反法律法规和招标文件规定的情形</w:t>
            </w:r>
          </w:p>
        </w:tc>
      </w:tr>
    </w:tbl>
    <w:p w14:paraId="3207CF9B">
      <w:pPr>
        <w:pStyle w:val="7"/>
        <w:numPr>
          <w:ilvl w:val="0"/>
          <w:numId w:val="0"/>
        </w:numPr>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符合性审查</w:t>
      </w:r>
    </w:p>
    <w:p w14:paraId="0C7C0063">
      <w:pPr>
        <w:pStyle w:val="7"/>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评审</w:t>
      </w:r>
      <w:r>
        <w:rPr>
          <w:rFonts w:hint="eastAsia" w:ascii="仿宋" w:hAnsi="仿宋" w:eastAsia="仿宋" w:cs="仿宋"/>
          <w:sz w:val="24"/>
          <w:szCs w:val="24"/>
        </w:rPr>
        <w:t>小组对通过资格审查的供应商的响应文件进行符合性审查，以确定其是否满足</w:t>
      </w:r>
      <w:r>
        <w:rPr>
          <w:rFonts w:hint="eastAsia" w:ascii="仿宋" w:hAnsi="仿宋" w:eastAsia="仿宋" w:cs="仿宋"/>
          <w:sz w:val="24"/>
          <w:szCs w:val="24"/>
          <w:lang w:val="en-US" w:eastAsia="zh-CN"/>
        </w:rPr>
        <w:t>招标</w:t>
      </w:r>
      <w:r>
        <w:rPr>
          <w:rFonts w:hint="eastAsia" w:ascii="仿宋" w:hAnsi="仿宋" w:eastAsia="仿宋" w:cs="仿宋"/>
          <w:sz w:val="24"/>
          <w:szCs w:val="24"/>
        </w:rPr>
        <w:t>文件的实质性要求。当发现供应商或其响应文件存在下列情况之一时，将判定供应商的响应无效，响应文件符合性审查不通过。</w:t>
      </w:r>
    </w:p>
    <w:tbl>
      <w:tblPr>
        <w:tblStyle w:val="8"/>
        <w:tblW w:w="8695"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961"/>
        <w:gridCol w:w="3100"/>
        <w:gridCol w:w="4634"/>
      </w:tblGrid>
      <w:tr w14:paraId="50306BD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restart"/>
            <w:tcBorders>
              <w:top w:val="outset" w:color="auto" w:sz="6" w:space="0"/>
              <w:left w:val="outset" w:color="auto" w:sz="6" w:space="0"/>
              <w:right w:val="outset" w:color="auto" w:sz="6" w:space="0"/>
            </w:tcBorders>
            <w:vAlign w:val="center"/>
          </w:tcPr>
          <w:p w14:paraId="5711F03A">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符合性审查</w:t>
            </w:r>
          </w:p>
        </w:tc>
        <w:tc>
          <w:tcPr>
            <w:tcW w:w="3100" w:type="dxa"/>
            <w:tcBorders>
              <w:top w:val="outset" w:color="auto" w:sz="6" w:space="0"/>
              <w:left w:val="outset" w:color="auto" w:sz="6" w:space="0"/>
              <w:bottom w:val="outset" w:color="auto" w:sz="6" w:space="0"/>
              <w:right w:val="outset" w:color="auto" w:sz="6" w:space="0"/>
            </w:tcBorders>
            <w:vAlign w:val="center"/>
          </w:tcPr>
          <w:p w14:paraId="465A6805">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tc>
        <w:tc>
          <w:tcPr>
            <w:tcW w:w="4634" w:type="dxa"/>
            <w:tcBorders>
              <w:top w:val="outset" w:color="auto" w:sz="6" w:space="0"/>
              <w:left w:val="outset" w:color="auto" w:sz="6" w:space="0"/>
              <w:bottom w:val="outset" w:color="auto" w:sz="6" w:space="0"/>
              <w:right w:val="outset" w:color="auto" w:sz="6" w:space="0"/>
            </w:tcBorders>
            <w:vAlign w:val="center"/>
          </w:tcPr>
          <w:p w14:paraId="2D3D3C2B">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与营业执照、资质证书等不一致</w:t>
            </w:r>
          </w:p>
        </w:tc>
      </w:tr>
      <w:tr w14:paraId="76CEA7C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14:paraId="73573BC3">
            <w:pPr>
              <w:jc w:val="left"/>
              <w:rPr>
                <w:rFonts w:hint="eastAsia" w:ascii="仿宋" w:hAnsi="仿宋" w:eastAsia="仿宋" w:cs="仿宋"/>
                <w:color w:val="auto"/>
                <w:sz w:val="24"/>
                <w:szCs w:val="24"/>
                <w:highlight w:val="none"/>
              </w:rPr>
            </w:pPr>
          </w:p>
        </w:tc>
        <w:tc>
          <w:tcPr>
            <w:tcW w:w="3100" w:type="dxa"/>
            <w:tcBorders>
              <w:top w:val="outset" w:color="auto" w:sz="6" w:space="0"/>
              <w:left w:val="outset" w:color="auto" w:sz="6" w:space="0"/>
              <w:bottom w:val="outset" w:color="auto" w:sz="6" w:space="0"/>
              <w:right w:val="outset" w:color="auto" w:sz="6" w:space="0"/>
            </w:tcBorders>
            <w:vAlign w:val="center"/>
          </w:tcPr>
          <w:p w14:paraId="2F253BEC">
            <w:pPr>
              <w:jc w:val="left"/>
              <w:rPr>
                <w:rFonts w:hint="eastAsia" w:ascii="仿宋" w:hAnsi="仿宋" w:eastAsia="仿宋" w:cs="仿宋"/>
                <w:color w:val="auto"/>
                <w:sz w:val="24"/>
                <w:szCs w:val="24"/>
                <w:highlight w:val="none"/>
              </w:rPr>
            </w:pPr>
            <w:r>
              <w:rPr>
                <w:rFonts w:hint="eastAsia" w:ascii="仿宋" w:hAnsi="仿宋" w:eastAsia="仿宋" w:cs="仿宋"/>
                <w:sz w:val="24"/>
                <w:szCs w:val="24"/>
              </w:rPr>
              <w:t>响应文件</w:t>
            </w:r>
            <w:r>
              <w:rPr>
                <w:rFonts w:hint="eastAsia" w:ascii="仿宋" w:hAnsi="仿宋" w:eastAsia="仿宋" w:cs="仿宋"/>
                <w:color w:val="auto"/>
                <w:sz w:val="24"/>
                <w:szCs w:val="24"/>
                <w:highlight w:val="none"/>
              </w:rPr>
              <w:t>签署</w:t>
            </w:r>
          </w:p>
        </w:tc>
        <w:tc>
          <w:tcPr>
            <w:tcW w:w="4634" w:type="dxa"/>
            <w:tcBorders>
              <w:top w:val="outset" w:color="auto" w:sz="6" w:space="0"/>
              <w:left w:val="outset" w:color="auto" w:sz="6" w:space="0"/>
              <w:bottom w:val="outset" w:color="auto" w:sz="6" w:space="0"/>
              <w:right w:val="outset" w:color="auto" w:sz="6" w:space="0"/>
            </w:tcBorders>
            <w:vAlign w:val="center"/>
          </w:tcPr>
          <w:p w14:paraId="23F28C1E">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未按</w:t>
            </w:r>
            <w:r>
              <w:rPr>
                <w:rFonts w:hint="eastAsia" w:ascii="仿宋" w:hAnsi="仿宋" w:eastAsia="仿宋" w:cs="仿宋"/>
                <w:color w:val="auto"/>
                <w:sz w:val="24"/>
                <w:szCs w:val="24"/>
                <w:highlight w:val="none"/>
                <w:lang w:val="en-US" w:eastAsia="zh-CN"/>
              </w:rPr>
              <w:t>询价公告和</w:t>
            </w:r>
            <w:r>
              <w:rPr>
                <w:rFonts w:hint="eastAsia" w:ascii="仿宋" w:hAnsi="仿宋" w:eastAsia="仿宋" w:cs="仿宋"/>
                <w:color w:val="auto"/>
                <w:sz w:val="24"/>
                <w:szCs w:val="24"/>
                <w:highlight w:val="none"/>
              </w:rPr>
              <w:t>招标文件要求加盖公章且无法定代表人或授权委托人签字（签章）</w:t>
            </w:r>
          </w:p>
        </w:tc>
      </w:tr>
      <w:tr w14:paraId="52E7696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14:paraId="75E3F245">
            <w:pPr>
              <w:jc w:val="left"/>
              <w:rPr>
                <w:rFonts w:hint="eastAsia" w:ascii="仿宋" w:hAnsi="仿宋" w:eastAsia="仿宋" w:cs="仿宋"/>
                <w:color w:val="auto"/>
                <w:sz w:val="24"/>
                <w:szCs w:val="24"/>
                <w:highlight w:val="none"/>
              </w:rPr>
            </w:pPr>
          </w:p>
        </w:tc>
        <w:tc>
          <w:tcPr>
            <w:tcW w:w="3100" w:type="dxa"/>
            <w:tcBorders>
              <w:top w:val="outset" w:color="auto" w:sz="6" w:space="0"/>
              <w:left w:val="outset" w:color="auto" w:sz="6" w:space="0"/>
              <w:bottom w:val="outset" w:color="auto" w:sz="6" w:space="0"/>
              <w:right w:val="outset" w:color="auto" w:sz="6" w:space="0"/>
            </w:tcBorders>
            <w:vAlign w:val="center"/>
          </w:tcPr>
          <w:p w14:paraId="6546CF71">
            <w:pPr>
              <w:jc w:val="left"/>
              <w:rPr>
                <w:rFonts w:hint="eastAsia" w:ascii="仿宋" w:hAnsi="仿宋" w:eastAsia="仿宋" w:cs="仿宋"/>
                <w:color w:val="auto"/>
                <w:sz w:val="24"/>
                <w:szCs w:val="24"/>
                <w:highlight w:val="none"/>
              </w:rPr>
            </w:pPr>
            <w:r>
              <w:rPr>
                <w:rFonts w:hint="eastAsia" w:ascii="仿宋" w:hAnsi="仿宋" w:eastAsia="仿宋" w:cs="仿宋"/>
                <w:sz w:val="24"/>
                <w:szCs w:val="24"/>
              </w:rPr>
              <w:t>响应文件</w:t>
            </w:r>
            <w:r>
              <w:rPr>
                <w:rFonts w:hint="eastAsia" w:ascii="仿宋" w:hAnsi="仿宋" w:eastAsia="仿宋" w:cs="仿宋"/>
                <w:color w:val="auto"/>
                <w:sz w:val="24"/>
                <w:szCs w:val="24"/>
                <w:highlight w:val="none"/>
              </w:rPr>
              <w:t>格式</w:t>
            </w:r>
          </w:p>
        </w:tc>
        <w:tc>
          <w:tcPr>
            <w:tcW w:w="4634" w:type="dxa"/>
            <w:tcBorders>
              <w:top w:val="outset" w:color="auto" w:sz="6" w:space="0"/>
              <w:left w:val="outset" w:color="auto" w:sz="6" w:space="0"/>
              <w:bottom w:val="outset" w:color="auto" w:sz="6" w:space="0"/>
              <w:right w:val="outset" w:color="auto" w:sz="6" w:space="0"/>
            </w:tcBorders>
            <w:vAlign w:val="center"/>
          </w:tcPr>
          <w:p w14:paraId="0F5D3C4A">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未按规定格式填写，实质性内容不全或关键字迹模糊、无法辨认</w:t>
            </w:r>
          </w:p>
        </w:tc>
      </w:tr>
      <w:tr w14:paraId="1518CA4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14:paraId="17598B22">
            <w:pPr>
              <w:jc w:val="left"/>
              <w:rPr>
                <w:rFonts w:hint="eastAsia" w:ascii="仿宋" w:hAnsi="仿宋" w:eastAsia="仿宋" w:cs="仿宋"/>
                <w:color w:val="auto"/>
                <w:sz w:val="24"/>
                <w:szCs w:val="24"/>
                <w:highlight w:val="none"/>
              </w:rPr>
            </w:pPr>
          </w:p>
        </w:tc>
        <w:tc>
          <w:tcPr>
            <w:tcW w:w="3100" w:type="dxa"/>
            <w:tcBorders>
              <w:top w:val="outset" w:color="auto" w:sz="6" w:space="0"/>
              <w:left w:val="outset" w:color="auto" w:sz="6" w:space="0"/>
              <w:bottom w:val="outset" w:color="auto" w:sz="6" w:space="0"/>
              <w:right w:val="outset" w:color="auto" w:sz="6" w:space="0"/>
            </w:tcBorders>
            <w:vAlign w:val="center"/>
          </w:tcPr>
          <w:p w14:paraId="38DE5B9B">
            <w:pPr>
              <w:jc w:val="left"/>
              <w:rPr>
                <w:rFonts w:hint="eastAsia" w:ascii="仿宋" w:hAnsi="仿宋" w:eastAsia="仿宋" w:cs="仿宋"/>
                <w:color w:val="auto"/>
                <w:sz w:val="24"/>
                <w:szCs w:val="24"/>
                <w:highlight w:val="none"/>
              </w:rPr>
            </w:pPr>
            <w:r>
              <w:rPr>
                <w:rFonts w:hint="eastAsia" w:ascii="仿宋" w:hAnsi="仿宋" w:eastAsia="仿宋" w:cs="仿宋"/>
                <w:sz w:val="24"/>
                <w:szCs w:val="24"/>
              </w:rPr>
              <w:t>响应报价</w:t>
            </w:r>
          </w:p>
        </w:tc>
        <w:tc>
          <w:tcPr>
            <w:tcW w:w="4634" w:type="dxa"/>
            <w:tcBorders>
              <w:top w:val="outset" w:color="auto" w:sz="6" w:space="0"/>
              <w:left w:val="outset" w:color="auto" w:sz="6" w:space="0"/>
              <w:bottom w:val="outset" w:color="auto" w:sz="6" w:space="0"/>
              <w:right w:val="outset" w:color="auto" w:sz="6" w:space="0"/>
            </w:tcBorders>
            <w:vAlign w:val="center"/>
          </w:tcPr>
          <w:p w14:paraId="13C53D5C">
            <w:pPr>
              <w:jc w:val="left"/>
              <w:rPr>
                <w:rFonts w:hint="eastAsia" w:ascii="仿宋" w:hAnsi="仿宋" w:eastAsia="仿宋" w:cs="仿宋"/>
                <w:color w:val="auto"/>
                <w:sz w:val="24"/>
                <w:szCs w:val="24"/>
                <w:highlight w:val="none"/>
              </w:rPr>
            </w:pPr>
            <w:r>
              <w:rPr>
                <w:rFonts w:hint="eastAsia" w:ascii="仿宋" w:hAnsi="仿宋" w:eastAsia="仿宋" w:cs="仿宋"/>
                <w:sz w:val="24"/>
                <w:szCs w:val="24"/>
              </w:rPr>
              <w:t>报价超过</w:t>
            </w:r>
            <w:r>
              <w:rPr>
                <w:rFonts w:hint="eastAsia" w:ascii="仿宋" w:hAnsi="仿宋" w:eastAsia="仿宋" w:cs="仿宋"/>
                <w:sz w:val="24"/>
                <w:szCs w:val="24"/>
                <w:lang w:val="en-US" w:eastAsia="zh-CN"/>
              </w:rPr>
              <w:t>询</w:t>
            </w:r>
            <w:r>
              <w:rPr>
                <w:rFonts w:hint="eastAsia" w:ascii="仿宋" w:hAnsi="仿宋" w:eastAsia="仿宋" w:cs="仿宋"/>
                <w:color w:val="auto"/>
                <w:sz w:val="24"/>
                <w:szCs w:val="24"/>
                <w:highlight w:val="none"/>
                <w:lang w:val="en-US" w:eastAsia="zh-CN"/>
              </w:rPr>
              <w:t>价公告和</w:t>
            </w:r>
            <w:r>
              <w:rPr>
                <w:rFonts w:hint="eastAsia" w:ascii="仿宋" w:hAnsi="仿宋" w:eastAsia="仿宋" w:cs="仿宋"/>
                <w:color w:val="auto"/>
                <w:sz w:val="24"/>
                <w:szCs w:val="24"/>
                <w:highlight w:val="none"/>
              </w:rPr>
              <w:t>招标文件</w:t>
            </w:r>
            <w:r>
              <w:rPr>
                <w:rFonts w:hint="eastAsia" w:ascii="仿宋" w:hAnsi="仿宋" w:eastAsia="仿宋" w:cs="仿宋"/>
                <w:sz w:val="24"/>
                <w:szCs w:val="24"/>
              </w:rPr>
              <w:t>中规定的预算金额或者最高限价</w:t>
            </w:r>
          </w:p>
        </w:tc>
      </w:tr>
      <w:tr w14:paraId="4DEE1A5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14:paraId="6A6851D9">
            <w:pPr>
              <w:jc w:val="left"/>
              <w:rPr>
                <w:rFonts w:hint="eastAsia" w:ascii="仿宋" w:hAnsi="仿宋" w:eastAsia="仿宋" w:cs="仿宋"/>
                <w:color w:val="auto"/>
                <w:sz w:val="24"/>
                <w:szCs w:val="24"/>
                <w:highlight w:val="none"/>
              </w:rPr>
            </w:pPr>
          </w:p>
        </w:tc>
        <w:tc>
          <w:tcPr>
            <w:tcW w:w="3100" w:type="dxa"/>
            <w:tcBorders>
              <w:top w:val="outset" w:color="auto" w:sz="6" w:space="0"/>
              <w:left w:val="outset" w:color="auto" w:sz="6" w:space="0"/>
              <w:bottom w:val="outset" w:color="auto" w:sz="6" w:space="0"/>
              <w:right w:val="outset" w:color="auto" w:sz="6" w:space="0"/>
            </w:tcBorders>
            <w:vAlign w:val="center"/>
          </w:tcPr>
          <w:p w14:paraId="45321EDF">
            <w:pPr>
              <w:jc w:val="left"/>
              <w:rPr>
                <w:rFonts w:hint="eastAsia" w:ascii="仿宋" w:hAnsi="仿宋" w:eastAsia="仿宋" w:cs="仿宋"/>
                <w:color w:val="auto"/>
                <w:sz w:val="24"/>
                <w:szCs w:val="24"/>
                <w:highlight w:val="none"/>
              </w:rPr>
            </w:pPr>
            <w:r>
              <w:rPr>
                <w:rFonts w:hint="eastAsia" w:ascii="仿宋" w:hAnsi="仿宋" w:eastAsia="仿宋" w:cs="仿宋"/>
                <w:sz w:val="24"/>
                <w:szCs w:val="24"/>
              </w:rPr>
              <w:t>响应文件</w:t>
            </w:r>
            <w:r>
              <w:rPr>
                <w:rFonts w:hint="eastAsia" w:ascii="仿宋" w:hAnsi="仿宋" w:eastAsia="仿宋" w:cs="仿宋"/>
                <w:color w:val="auto"/>
                <w:sz w:val="24"/>
                <w:szCs w:val="24"/>
                <w:highlight w:val="none"/>
              </w:rPr>
              <w:t>有效期</w:t>
            </w:r>
          </w:p>
        </w:tc>
        <w:tc>
          <w:tcPr>
            <w:tcW w:w="4634" w:type="dxa"/>
            <w:tcBorders>
              <w:top w:val="outset" w:color="auto" w:sz="6" w:space="0"/>
              <w:left w:val="outset" w:color="auto" w:sz="6" w:space="0"/>
              <w:bottom w:val="outset" w:color="auto" w:sz="6" w:space="0"/>
              <w:right w:val="outset" w:color="auto" w:sz="6" w:space="0"/>
            </w:tcBorders>
            <w:vAlign w:val="center"/>
          </w:tcPr>
          <w:p w14:paraId="7DB39E6D">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不符合招标文件的要求</w:t>
            </w:r>
          </w:p>
        </w:tc>
      </w:tr>
      <w:tr w14:paraId="0ECAB6B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14:paraId="30F9E849">
            <w:pPr>
              <w:jc w:val="left"/>
              <w:rPr>
                <w:rFonts w:hint="eastAsia" w:ascii="仿宋" w:hAnsi="仿宋" w:eastAsia="仿宋" w:cs="仿宋"/>
                <w:color w:val="auto"/>
                <w:sz w:val="24"/>
                <w:szCs w:val="24"/>
                <w:highlight w:val="none"/>
              </w:rPr>
            </w:pPr>
          </w:p>
        </w:tc>
        <w:tc>
          <w:tcPr>
            <w:tcW w:w="3100" w:type="dxa"/>
            <w:tcBorders>
              <w:top w:val="outset" w:color="auto" w:sz="6" w:space="0"/>
              <w:left w:val="outset" w:color="auto" w:sz="6" w:space="0"/>
              <w:bottom w:val="outset" w:color="auto" w:sz="6" w:space="0"/>
              <w:right w:val="outset" w:color="auto" w:sz="6" w:space="0"/>
            </w:tcBorders>
            <w:vAlign w:val="center"/>
          </w:tcPr>
          <w:p w14:paraId="06CA4135">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交货时间、地点、质保期或付款方式</w:t>
            </w:r>
          </w:p>
        </w:tc>
        <w:tc>
          <w:tcPr>
            <w:tcW w:w="4634" w:type="dxa"/>
            <w:tcBorders>
              <w:top w:val="outset" w:color="auto" w:sz="6" w:space="0"/>
              <w:left w:val="outset" w:color="auto" w:sz="6" w:space="0"/>
              <w:bottom w:val="outset" w:color="auto" w:sz="6" w:space="0"/>
              <w:right w:val="outset" w:color="auto" w:sz="6" w:space="0"/>
            </w:tcBorders>
            <w:vAlign w:val="center"/>
          </w:tcPr>
          <w:p w14:paraId="2C504C84">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不符合招标文件的要求</w:t>
            </w:r>
          </w:p>
        </w:tc>
      </w:tr>
      <w:tr w14:paraId="76F96C9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11" w:hRule="atLeast"/>
        </w:trPr>
        <w:tc>
          <w:tcPr>
            <w:tcW w:w="961" w:type="dxa"/>
            <w:vMerge w:val="continue"/>
            <w:tcBorders>
              <w:left w:val="outset" w:color="auto" w:sz="6" w:space="0"/>
              <w:right w:val="outset" w:color="auto" w:sz="6" w:space="0"/>
            </w:tcBorders>
            <w:vAlign w:val="center"/>
          </w:tcPr>
          <w:p w14:paraId="1F57B838">
            <w:pPr>
              <w:jc w:val="left"/>
              <w:rPr>
                <w:rFonts w:hint="eastAsia" w:ascii="仿宋" w:hAnsi="仿宋" w:eastAsia="仿宋" w:cs="仿宋"/>
                <w:color w:val="auto"/>
                <w:sz w:val="24"/>
                <w:szCs w:val="24"/>
                <w:highlight w:val="none"/>
              </w:rPr>
            </w:pPr>
          </w:p>
        </w:tc>
        <w:tc>
          <w:tcPr>
            <w:tcW w:w="3100" w:type="dxa"/>
            <w:tcBorders>
              <w:top w:val="outset" w:color="auto" w:sz="6" w:space="0"/>
              <w:left w:val="outset" w:color="auto" w:sz="6" w:space="0"/>
              <w:right w:val="outset" w:color="auto" w:sz="6" w:space="0"/>
            </w:tcBorders>
            <w:vAlign w:val="center"/>
          </w:tcPr>
          <w:p w14:paraId="30BD3294">
            <w:pPr>
              <w:jc w:val="left"/>
              <w:rPr>
                <w:rFonts w:hint="eastAsia" w:ascii="仿宋" w:hAnsi="仿宋" w:eastAsia="仿宋" w:cs="仿宋"/>
                <w:color w:val="auto"/>
                <w:sz w:val="24"/>
                <w:szCs w:val="24"/>
                <w:highlight w:val="none"/>
              </w:rPr>
            </w:pPr>
            <w:r>
              <w:rPr>
                <w:rFonts w:hint="eastAsia" w:ascii="仿宋" w:hAnsi="仿宋" w:eastAsia="仿宋" w:cs="仿宋"/>
                <w:sz w:val="24"/>
                <w:szCs w:val="24"/>
              </w:rPr>
              <w:t>实质性要求</w:t>
            </w:r>
          </w:p>
        </w:tc>
        <w:tc>
          <w:tcPr>
            <w:tcW w:w="4634" w:type="dxa"/>
            <w:tcBorders>
              <w:top w:val="outset" w:color="auto" w:sz="6" w:space="0"/>
              <w:left w:val="outset" w:color="auto" w:sz="6" w:space="0"/>
              <w:bottom w:val="outset" w:color="auto" w:sz="6" w:space="0"/>
              <w:right w:val="outset" w:color="auto" w:sz="6" w:space="0"/>
            </w:tcBorders>
            <w:vAlign w:val="center"/>
          </w:tcPr>
          <w:p w14:paraId="5D370426">
            <w:pPr>
              <w:jc w:val="left"/>
              <w:rPr>
                <w:rFonts w:hint="eastAsia" w:ascii="仿宋" w:hAnsi="仿宋" w:eastAsia="仿宋" w:cs="仿宋"/>
                <w:color w:val="auto"/>
                <w:sz w:val="24"/>
                <w:szCs w:val="24"/>
                <w:highlight w:val="none"/>
              </w:rPr>
            </w:pPr>
            <w:r>
              <w:rPr>
                <w:rFonts w:hint="eastAsia" w:ascii="仿宋" w:hAnsi="仿宋" w:eastAsia="仿宋" w:cs="仿宋"/>
                <w:sz w:val="24"/>
                <w:szCs w:val="24"/>
              </w:rPr>
              <w:t>与</w:t>
            </w:r>
            <w:r>
              <w:rPr>
                <w:rFonts w:hint="eastAsia" w:ascii="仿宋" w:hAnsi="仿宋" w:eastAsia="仿宋" w:cs="仿宋"/>
                <w:sz w:val="24"/>
                <w:szCs w:val="24"/>
                <w:lang w:val="en-US" w:eastAsia="zh-CN"/>
              </w:rPr>
              <w:t>招标</w:t>
            </w:r>
            <w:r>
              <w:rPr>
                <w:rFonts w:hint="eastAsia" w:ascii="仿宋" w:hAnsi="仿宋" w:eastAsia="仿宋" w:cs="仿宋"/>
                <w:sz w:val="24"/>
                <w:szCs w:val="24"/>
              </w:rPr>
              <w:t>文件实质性要求有负偏离或未提供实质性要求证明材料的。</w:t>
            </w:r>
          </w:p>
        </w:tc>
      </w:tr>
    </w:tbl>
    <w:p w14:paraId="68409E67">
      <w:pPr>
        <w:rPr>
          <w:rFonts w:hint="eastAsia" w:ascii="仿宋" w:hAnsi="仿宋" w:eastAsia="仿宋" w:cs="仿宋"/>
          <w:sz w:val="24"/>
          <w:szCs w:val="24"/>
        </w:rPr>
      </w:pPr>
    </w:p>
    <w:p w14:paraId="58E6B9E1">
      <w:pPr>
        <w:pStyle w:val="7"/>
        <w:ind w:left="0" w:leftChars="0" w:firstLine="480" w:firstLineChars="200"/>
        <w:rPr>
          <w:rFonts w:hint="eastAsia" w:ascii="仿宋" w:hAnsi="仿宋" w:eastAsia="仿宋" w:cs="仿宋"/>
          <w:b/>
          <w:bCs w:val="0"/>
          <w:color w:val="auto"/>
          <w:sz w:val="24"/>
          <w:szCs w:val="24"/>
          <w:highlight w:val="none"/>
        </w:rPr>
      </w:pPr>
      <w:r>
        <w:rPr>
          <w:rFonts w:hint="eastAsia" w:ascii="仿宋" w:hAnsi="仿宋" w:eastAsia="仿宋" w:cs="仿宋"/>
          <w:sz w:val="24"/>
          <w:szCs w:val="24"/>
          <w:lang w:val="en-US" w:eastAsia="zh-CN"/>
        </w:rPr>
        <w:t>三、</w:t>
      </w:r>
      <w:r>
        <w:rPr>
          <w:rFonts w:hint="eastAsia" w:ascii="仿宋" w:hAnsi="仿宋" w:eastAsia="仿宋" w:cs="仿宋"/>
          <w:b/>
          <w:bCs w:val="0"/>
          <w:color w:val="auto"/>
          <w:sz w:val="24"/>
          <w:szCs w:val="24"/>
          <w:highlight w:val="none"/>
        </w:rPr>
        <w:t>评分</w:t>
      </w:r>
      <w:r>
        <w:rPr>
          <w:rFonts w:hint="eastAsia" w:ascii="仿宋" w:hAnsi="仿宋" w:eastAsia="仿宋" w:cs="仿宋"/>
          <w:b/>
          <w:bCs w:val="0"/>
          <w:color w:val="auto"/>
          <w:sz w:val="24"/>
          <w:szCs w:val="24"/>
          <w:highlight w:val="none"/>
          <w:lang w:eastAsia="zh-CN"/>
        </w:rPr>
        <w:t>细</w:t>
      </w:r>
      <w:r>
        <w:rPr>
          <w:rFonts w:hint="eastAsia" w:ascii="仿宋" w:hAnsi="仿宋" w:eastAsia="仿宋" w:cs="仿宋"/>
          <w:b/>
          <w:bCs w:val="0"/>
          <w:color w:val="auto"/>
          <w:sz w:val="24"/>
          <w:szCs w:val="24"/>
          <w:highlight w:val="none"/>
        </w:rPr>
        <w:t>则</w:t>
      </w:r>
    </w:p>
    <w:p w14:paraId="7C41D0A8">
      <w:pPr>
        <w:wordWrap w:val="0"/>
        <w:topLinePunct/>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综合评分（满分100分）</w:t>
      </w:r>
    </w:p>
    <w:p w14:paraId="145844A8">
      <w:pPr>
        <w:wordWrap w:val="0"/>
        <w:topLinePunct/>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评审</w:t>
      </w:r>
      <w:r>
        <w:rPr>
          <w:rFonts w:hint="eastAsia" w:ascii="仿宋" w:hAnsi="仿宋" w:eastAsia="仿宋" w:cs="仿宋"/>
          <w:sz w:val="24"/>
          <w:szCs w:val="24"/>
        </w:rPr>
        <w:t>小组各成员应当独立对每个有效响应的文件进行评价、打分，然后汇总平均每个供应商每项评分因素的得分，各项得分四舍五入保留两位小数。</w:t>
      </w:r>
    </w:p>
    <w:p w14:paraId="188409F4">
      <w:pPr>
        <w:pStyle w:val="7"/>
        <w:ind w:left="0" w:leftChars="0" w:firstLine="480" w:firstLineChars="200"/>
        <w:rPr>
          <w:rFonts w:hint="default"/>
          <w:lang w:val="en-US" w:eastAsia="zh-CN"/>
        </w:rPr>
      </w:pPr>
      <w:r>
        <w:rPr>
          <w:rFonts w:hint="eastAsia" w:ascii="仿宋" w:hAnsi="仿宋" w:eastAsia="仿宋" w:cs="仿宋"/>
          <w:sz w:val="24"/>
          <w:szCs w:val="24"/>
          <w:lang w:val="en-US" w:eastAsia="zh-CN"/>
        </w:rPr>
        <w:t>商务部分（27分）</w:t>
      </w:r>
      <w:r>
        <w:rPr>
          <w:rFonts w:hint="eastAsia" w:ascii="仿宋" w:hAnsi="仿宋" w:eastAsia="仿宋" w:cs="仿宋"/>
          <w:sz w:val="28"/>
          <w:szCs w:val="28"/>
          <w:lang w:val="en-US" w:eastAsia="zh-CN"/>
        </w:rPr>
        <w:t xml:space="preserve">   </w:t>
      </w:r>
    </w:p>
    <w:tbl>
      <w:tblPr>
        <w:tblStyle w:val="8"/>
        <w:tblW w:w="8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1"/>
        <w:gridCol w:w="755"/>
        <w:gridCol w:w="6006"/>
      </w:tblGrid>
      <w:tr w14:paraId="5DB5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11" w:type="dxa"/>
            <w:noWrap w:val="0"/>
            <w:vAlign w:val="center"/>
          </w:tcPr>
          <w:p w14:paraId="17E3AC06">
            <w:pPr>
              <w:wordWrap w:val="0"/>
              <w:topLinePunct/>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评审项目</w:t>
            </w:r>
          </w:p>
        </w:tc>
        <w:tc>
          <w:tcPr>
            <w:tcW w:w="755" w:type="dxa"/>
            <w:noWrap w:val="0"/>
            <w:vAlign w:val="center"/>
          </w:tcPr>
          <w:p w14:paraId="5ABB5E45">
            <w:pPr>
              <w:wordWrap w:val="0"/>
              <w:topLinePunct/>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分值</w:t>
            </w:r>
          </w:p>
        </w:tc>
        <w:tc>
          <w:tcPr>
            <w:tcW w:w="6006" w:type="dxa"/>
            <w:noWrap w:val="0"/>
            <w:vAlign w:val="center"/>
          </w:tcPr>
          <w:p w14:paraId="4BE50661">
            <w:pPr>
              <w:wordWrap w:val="0"/>
              <w:topLinePunct/>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依据</w:t>
            </w:r>
          </w:p>
        </w:tc>
      </w:tr>
      <w:tr w14:paraId="2C0E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11" w:type="dxa"/>
            <w:noWrap w:val="0"/>
            <w:vAlign w:val="center"/>
          </w:tcPr>
          <w:p w14:paraId="18AEDDAF">
            <w:pPr>
              <w:wordWrap w:val="0"/>
              <w:topLinePunct/>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响应</w:t>
            </w:r>
            <w:r>
              <w:rPr>
                <w:rFonts w:hint="eastAsia" w:ascii="仿宋" w:hAnsi="仿宋" w:eastAsia="仿宋" w:cs="仿宋"/>
                <w:sz w:val="21"/>
                <w:szCs w:val="21"/>
              </w:rPr>
              <w:t>报价</w:t>
            </w:r>
          </w:p>
        </w:tc>
        <w:tc>
          <w:tcPr>
            <w:tcW w:w="755" w:type="dxa"/>
            <w:noWrap w:val="0"/>
            <w:vAlign w:val="center"/>
          </w:tcPr>
          <w:p w14:paraId="21E9A2AE">
            <w:pPr>
              <w:wordWrap w:val="0"/>
              <w:topLinePunct/>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18</w:t>
            </w:r>
            <w:r>
              <w:rPr>
                <w:rFonts w:hint="eastAsia" w:ascii="仿宋" w:hAnsi="仿宋" w:eastAsia="仿宋" w:cs="仿宋"/>
                <w:sz w:val="21"/>
                <w:szCs w:val="21"/>
              </w:rPr>
              <w:t>分</w:t>
            </w:r>
          </w:p>
        </w:tc>
        <w:tc>
          <w:tcPr>
            <w:tcW w:w="6006" w:type="dxa"/>
            <w:noWrap w:val="0"/>
            <w:vAlign w:val="center"/>
          </w:tcPr>
          <w:p w14:paraId="13381F9A">
            <w:pPr>
              <w:numPr>
                <w:ilvl w:val="0"/>
                <w:numId w:val="0"/>
              </w:numPr>
              <w:wordWrap w:val="0"/>
              <w:topLinePunct/>
              <w:snapToGrid w:val="0"/>
              <w:spacing w:line="360" w:lineRule="auto"/>
              <w:rPr>
                <w:rFonts w:hint="eastAsia" w:ascii="仿宋" w:hAnsi="仿宋" w:eastAsia="仿宋" w:cs="仿宋"/>
                <w:sz w:val="21"/>
                <w:szCs w:val="21"/>
              </w:rPr>
            </w:pPr>
            <w:r>
              <w:rPr>
                <w:rFonts w:hint="eastAsia" w:ascii="仿宋" w:hAnsi="仿宋" w:eastAsia="仿宋" w:cs="仿宋"/>
                <w:sz w:val="21"/>
                <w:szCs w:val="21"/>
              </w:rPr>
              <w:t>满足</w:t>
            </w:r>
            <w:r>
              <w:rPr>
                <w:rFonts w:hint="eastAsia" w:ascii="仿宋" w:hAnsi="仿宋" w:eastAsia="仿宋" w:cs="仿宋"/>
                <w:sz w:val="21"/>
                <w:szCs w:val="21"/>
                <w:lang w:val="en-US" w:eastAsia="zh-CN"/>
              </w:rPr>
              <w:t>询价公告投标</w:t>
            </w:r>
            <w:r>
              <w:rPr>
                <w:rFonts w:hint="eastAsia" w:ascii="仿宋" w:hAnsi="仿宋" w:eastAsia="仿宋" w:cs="仿宋"/>
                <w:sz w:val="21"/>
                <w:szCs w:val="21"/>
                <w:highlight w:val="none"/>
                <w:lang w:val="en-US" w:eastAsia="zh-CN"/>
              </w:rPr>
              <w:t>报价</w:t>
            </w:r>
            <w:r>
              <w:rPr>
                <w:rFonts w:hint="eastAsia" w:ascii="仿宋" w:hAnsi="仿宋" w:eastAsia="仿宋" w:cs="仿宋"/>
                <w:sz w:val="21"/>
                <w:szCs w:val="21"/>
              </w:rPr>
              <w:t>最低的供应商的价格为</w:t>
            </w:r>
            <w:r>
              <w:rPr>
                <w:rFonts w:hint="eastAsia" w:ascii="仿宋" w:hAnsi="仿宋" w:eastAsia="仿宋" w:cs="仿宋"/>
                <w:sz w:val="21"/>
                <w:szCs w:val="21"/>
                <w:lang w:val="en-US" w:eastAsia="zh-CN"/>
              </w:rPr>
              <w:t>评标</w:t>
            </w:r>
            <w:r>
              <w:rPr>
                <w:rFonts w:hint="eastAsia" w:ascii="仿宋" w:hAnsi="仿宋" w:eastAsia="仿宋" w:cs="仿宋"/>
                <w:sz w:val="21"/>
                <w:szCs w:val="21"/>
              </w:rPr>
              <w:t>基准价，其价格分为满分</w:t>
            </w:r>
            <w:r>
              <w:rPr>
                <w:rFonts w:hint="eastAsia" w:ascii="仿宋" w:hAnsi="仿宋" w:eastAsia="仿宋" w:cs="仿宋"/>
                <w:sz w:val="21"/>
                <w:szCs w:val="21"/>
                <w:lang w:val="en-US" w:eastAsia="zh-CN"/>
              </w:rPr>
              <w:t>18分</w:t>
            </w:r>
            <w:r>
              <w:rPr>
                <w:rFonts w:hint="eastAsia" w:ascii="仿宋" w:hAnsi="仿宋" w:eastAsia="仿宋" w:cs="仿宋"/>
                <w:sz w:val="21"/>
                <w:szCs w:val="21"/>
              </w:rPr>
              <w:t>。其他供应商的报价得分统一按照下列公式计算：</w:t>
            </w:r>
          </w:p>
          <w:p w14:paraId="676BECF5">
            <w:pPr>
              <w:wordWrap w:val="0"/>
              <w:topLinePunct/>
              <w:snapToGrid w:val="0"/>
              <w:spacing w:line="360" w:lineRule="auto"/>
              <w:ind w:firstLine="420" w:firstLineChars="200"/>
              <w:rPr>
                <w:rFonts w:hint="default" w:ascii="仿宋" w:hAnsi="仿宋" w:eastAsia="仿宋" w:cs="仿宋"/>
                <w:sz w:val="21"/>
                <w:szCs w:val="21"/>
                <w:lang w:val="en-US" w:eastAsia="zh-CN"/>
              </w:rPr>
            </w:pPr>
            <w:r>
              <w:rPr>
                <w:rFonts w:hint="eastAsia" w:ascii="仿宋" w:hAnsi="仿宋" w:eastAsia="仿宋" w:cs="仿宋"/>
                <w:sz w:val="21"/>
                <w:szCs w:val="21"/>
              </w:rPr>
              <w:t>报价得分=（</w:t>
            </w:r>
            <w:r>
              <w:rPr>
                <w:rFonts w:hint="eastAsia" w:ascii="仿宋" w:hAnsi="仿宋" w:eastAsia="仿宋" w:cs="仿宋"/>
                <w:sz w:val="21"/>
                <w:szCs w:val="21"/>
                <w:lang w:val="en-US" w:eastAsia="zh-CN"/>
              </w:rPr>
              <w:t>评标</w:t>
            </w:r>
            <w:r>
              <w:rPr>
                <w:rFonts w:hint="eastAsia" w:ascii="仿宋" w:hAnsi="仿宋" w:eastAsia="仿宋" w:cs="仿宋"/>
                <w:sz w:val="21"/>
                <w:szCs w:val="21"/>
              </w:rPr>
              <w:t>基准价/</w:t>
            </w:r>
            <w:r>
              <w:rPr>
                <w:rFonts w:hint="eastAsia" w:ascii="仿宋" w:hAnsi="仿宋" w:eastAsia="仿宋" w:cs="仿宋"/>
                <w:sz w:val="21"/>
                <w:szCs w:val="21"/>
                <w:lang w:val="en-US" w:eastAsia="zh-CN"/>
              </w:rPr>
              <w:t>投标</w:t>
            </w:r>
            <w:r>
              <w:rPr>
                <w:rFonts w:hint="eastAsia" w:ascii="仿宋" w:hAnsi="仿宋" w:eastAsia="仿宋" w:cs="仿宋"/>
                <w:sz w:val="21"/>
                <w:szCs w:val="21"/>
              </w:rPr>
              <w:t>报价）×</w:t>
            </w:r>
            <w:r>
              <w:rPr>
                <w:rFonts w:hint="eastAsia" w:ascii="仿宋" w:hAnsi="仿宋" w:eastAsia="仿宋" w:cs="仿宋"/>
                <w:sz w:val="21"/>
                <w:szCs w:val="21"/>
                <w:lang w:val="en-US" w:eastAsia="zh-CN"/>
              </w:rPr>
              <w:t>18</w:t>
            </w:r>
          </w:p>
        </w:tc>
      </w:tr>
      <w:tr w14:paraId="70AB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11" w:type="dxa"/>
            <w:noWrap w:val="0"/>
            <w:vAlign w:val="center"/>
          </w:tcPr>
          <w:p w14:paraId="6C8B1EC5">
            <w:pPr>
              <w:wordWrap w:val="0"/>
              <w:topLinePunct/>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供应商业绩</w:t>
            </w:r>
          </w:p>
        </w:tc>
        <w:tc>
          <w:tcPr>
            <w:tcW w:w="755" w:type="dxa"/>
            <w:noWrap w:val="0"/>
            <w:vAlign w:val="center"/>
          </w:tcPr>
          <w:p w14:paraId="51378D9B">
            <w:pPr>
              <w:wordWrap w:val="0"/>
              <w:topLinePunct/>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分</w:t>
            </w:r>
          </w:p>
        </w:tc>
        <w:tc>
          <w:tcPr>
            <w:tcW w:w="6006" w:type="dxa"/>
            <w:noWrap w:val="0"/>
            <w:vAlign w:val="center"/>
          </w:tcPr>
          <w:p w14:paraId="0D9B4889">
            <w:pPr>
              <w:wordWrap w:val="0"/>
              <w:topLinePunct/>
              <w:snapToGrid w:val="0"/>
              <w:spacing w:line="360" w:lineRule="auto"/>
              <w:rPr>
                <w:rFonts w:hint="eastAsia" w:ascii="仿宋" w:hAnsi="仿宋" w:eastAsia="仿宋" w:cs="仿宋"/>
                <w:sz w:val="21"/>
                <w:szCs w:val="21"/>
              </w:rPr>
            </w:pPr>
            <w:r>
              <w:rPr>
                <w:rFonts w:hint="eastAsia" w:ascii="仿宋" w:hAnsi="仿宋" w:eastAsia="仿宋" w:cs="仿宋"/>
                <w:sz w:val="21"/>
                <w:szCs w:val="21"/>
                <w:highlight w:val="none"/>
              </w:rPr>
              <w:t>提供近三年内类似</w:t>
            </w:r>
            <w:r>
              <w:rPr>
                <w:rFonts w:hint="eastAsia" w:ascii="仿宋" w:hAnsi="仿宋" w:eastAsia="仿宋" w:cs="仿宋"/>
                <w:sz w:val="21"/>
                <w:szCs w:val="21"/>
                <w:highlight w:val="none"/>
                <w:lang w:val="en-US" w:eastAsia="zh-CN"/>
              </w:rPr>
              <w:t>定制</w:t>
            </w:r>
            <w:r>
              <w:rPr>
                <w:rFonts w:hint="eastAsia" w:ascii="仿宋" w:hAnsi="仿宋" w:eastAsia="仿宋" w:cs="仿宋"/>
                <w:sz w:val="21"/>
                <w:szCs w:val="21"/>
                <w:highlight w:val="none"/>
              </w:rPr>
              <w:t>项目业绩</w:t>
            </w:r>
            <w:r>
              <w:rPr>
                <w:rFonts w:hint="eastAsia" w:ascii="仿宋" w:hAnsi="仿宋" w:eastAsia="仿宋" w:cs="仿宋"/>
                <w:sz w:val="21"/>
                <w:szCs w:val="21"/>
                <w:highlight w:val="none"/>
                <w:lang w:val="en-US" w:eastAsia="zh-CN"/>
              </w:rPr>
              <w:t>合同</w:t>
            </w:r>
            <w:r>
              <w:rPr>
                <w:rFonts w:hint="eastAsia" w:ascii="仿宋" w:hAnsi="仿宋" w:eastAsia="仿宋" w:cs="仿宋"/>
                <w:sz w:val="21"/>
                <w:szCs w:val="21"/>
                <w:highlight w:val="none"/>
              </w:rPr>
              <w:t>（酒店、宾馆、会所等客房用品供货合同），</w:t>
            </w:r>
            <w:r>
              <w:rPr>
                <w:rFonts w:hint="eastAsia" w:ascii="仿宋" w:hAnsi="仿宋" w:eastAsia="仿宋" w:cs="仿宋"/>
                <w:sz w:val="21"/>
                <w:szCs w:val="21"/>
                <w:lang w:val="en-US" w:eastAsia="zh-CN"/>
              </w:rPr>
              <w:t>提供业绩</w:t>
            </w:r>
            <w:r>
              <w:rPr>
                <w:rFonts w:hint="eastAsia" w:ascii="仿宋" w:hAnsi="仿宋" w:eastAsia="仿宋" w:cs="仿宋"/>
                <w:sz w:val="21"/>
                <w:szCs w:val="21"/>
              </w:rPr>
              <w:t>合同</w:t>
            </w:r>
            <w:r>
              <w:rPr>
                <w:rFonts w:hint="eastAsia" w:ascii="仿宋" w:hAnsi="仿宋" w:eastAsia="仿宋" w:cs="仿宋"/>
                <w:sz w:val="21"/>
                <w:szCs w:val="21"/>
                <w:lang w:eastAsia="zh-CN"/>
              </w:rPr>
              <w:t>（每项业绩合同须为不同采购人）</w:t>
            </w:r>
            <w:r>
              <w:rPr>
                <w:rFonts w:hint="eastAsia" w:ascii="仿宋" w:hAnsi="仿宋" w:eastAsia="仿宋" w:cs="仿宋"/>
                <w:sz w:val="21"/>
                <w:szCs w:val="21"/>
              </w:rPr>
              <w:t>，</w:t>
            </w:r>
            <w:r>
              <w:rPr>
                <w:rFonts w:hint="eastAsia" w:ascii="仿宋" w:hAnsi="仿宋" w:eastAsia="仿宋" w:cs="仿宋"/>
                <w:sz w:val="21"/>
                <w:szCs w:val="21"/>
                <w:lang w:eastAsia="zh-CN"/>
              </w:rPr>
              <w:t>每有一份业绩合同加</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3</w:t>
            </w:r>
            <w:r>
              <w:rPr>
                <w:rFonts w:hint="eastAsia" w:ascii="仿宋" w:hAnsi="仿宋" w:eastAsia="仿宋" w:cs="仿宋"/>
                <w:sz w:val="21"/>
                <w:szCs w:val="21"/>
                <w:u w:val="single"/>
              </w:rPr>
              <w:t xml:space="preserve"> </w:t>
            </w:r>
            <w:r>
              <w:rPr>
                <w:rFonts w:hint="eastAsia" w:ascii="仿宋" w:hAnsi="仿宋" w:eastAsia="仿宋" w:cs="仿宋"/>
                <w:sz w:val="21"/>
                <w:szCs w:val="21"/>
              </w:rPr>
              <w:t>分，</w:t>
            </w:r>
            <w:r>
              <w:rPr>
                <w:rFonts w:hint="eastAsia" w:ascii="仿宋" w:hAnsi="仿宋" w:eastAsia="仿宋" w:cs="仿宋"/>
                <w:sz w:val="21"/>
                <w:szCs w:val="21"/>
                <w:lang w:eastAsia="zh-CN"/>
              </w:rPr>
              <w:t>加满</w:t>
            </w:r>
            <w:r>
              <w:rPr>
                <w:rFonts w:hint="eastAsia" w:ascii="仿宋" w:hAnsi="仿宋" w:eastAsia="仿宋" w:cs="仿宋"/>
                <w:sz w:val="21"/>
                <w:szCs w:val="21"/>
                <w:u w:val="single"/>
                <w:lang w:val="en-US" w:eastAsia="zh-CN"/>
              </w:rPr>
              <w:t xml:space="preserve"> 9 </w:t>
            </w:r>
            <w:r>
              <w:rPr>
                <w:rFonts w:hint="eastAsia" w:ascii="仿宋" w:hAnsi="仿宋" w:eastAsia="仿宋" w:cs="仿宋"/>
                <w:sz w:val="21"/>
                <w:szCs w:val="21"/>
                <w:u w:val="none"/>
                <w:lang w:val="en-US" w:eastAsia="zh-CN"/>
              </w:rPr>
              <w:t>分</w:t>
            </w:r>
            <w:r>
              <w:rPr>
                <w:rFonts w:hint="eastAsia" w:ascii="仿宋" w:hAnsi="仿宋" w:eastAsia="仿宋" w:cs="仿宋"/>
                <w:sz w:val="21"/>
                <w:szCs w:val="21"/>
                <w:lang w:eastAsia="zh-CN"/>
              </w:rPr>
              <w:t>为止</w:t>
            </w:r>
            <w:r>
              <w:rPr>
                <w:rFonts w:hint="eastAsia" w:ascii="仿宋" w:hAnsi="仿宋" w:eastAsia="仿宋" w:cs="仿宋"/>
                <w:sz w:val="21"/>
                <w:szCs w:val="21"/>
              </w:rPr>
              <w:t>。</w:t>
            </w:r>
          </w:p>
          <w:p w14:paraId="1A638041">
            <w:pPr>
              <w:wordWrap w:val="0"/>
              <w:topLinePunct/>
              <w:snapToGrid w:val="0"/>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注：供应商响应文件中需提供每个业绩合同对应的定制产品图片或设计方案等证明材料，未提供该项业绩不得分。</w:t>
            </w:r>
          </w:p>
        </w:tc>
      </w:tr>
    </w:tbl>
    <w:p w14:paraId="184A4B7B">
      <w:pPr>
        <w:wordWrap w:val="0"/>
        <w:topLinePunct/>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技术部分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73分）</w:t>
      </w:r>
    </w:p>
    <w:p w14:paraId="04A62E79">
      <w:pPr>
        <w:wordWrap w:val="0"/>
        <w:topLinePunct/>
        <w:spacing w:line="360" w:lineRule="auto"/>
        <w:rPr>
          <w:rFonts w:hint="eastAsia" w:ascii="仿宋" w:hAnsi="仿宋" w:eastAsia="仿宋" w:cs="仿宋"/>
          <w:sz w:val="24"/>
          <w:szCs w:val="24"/>
          <w:lang w:val="en-US" w:eastAsia="zh-CN"/>
        </w:rPr>
      </w:pPr>
    </w:p>
    <w:p w14:paraId="3A94F4D0">
      <w:pPr>
        <w:wordWrap w:val="0"/>
        <w:topLinePunct/>
        <w:spacing w:line="360" w:lineRule="auto"/>
        <w:rPr>
          <w:rFonts w:hint="eastAsia" w:ascii="仿宋" w:hAnsi="仿宋" w:eastAsia="仿宋" w:cs="仿宋"/>
          <w:sz w:val="24"/>
          <w:szCs w:val="24"/>
          <w:lang w:val="en-US" w:eastAsia="zh-CN"/>
        </w:rPr>
      </w:pPr>
    </w:p>
    <w:p w14:paraId="5B4E09FA">
      <w:pPr>
        <w:wordWrap w:val="0"/>
        <w:topLinePunct/>
        <w:spacing w:line="360" w:lineRule="auto"/>
        <w:rPr>
          <w:rFonts w:hint="eastAsia" w:ascii="仿宋" w:hAnsi="仿宋" w:eastAsia="仿宋" w:cs="仿宋"/>
          <w:sz w:val="24"/>
          <w:szCs w:val="24"/>
          <w:lang w:val="en-US" w:eastAsia="zh-CN"/>
        </w:rPr>
      </w:pPr>
    </w:p>
    <w:p w14:paraId="6A6CCE23">
      <w:pPr>
        <w:wordWrap w:val="0"/>
        <w:topLinePunct/>
        <w:spacing w:line="360" w:lineRule="auto"/>
        <w:rPr>
          <w:rFonts w:hint="eastAsia" w:ascii="仿宋" w:hAnsi="仿宋" w:eastAsia="仿宋" w:cs="仿宋"/>
          <w:sz w:val="24"/>
          <w:szCs w:val="24"/>
          <w:lang w:val="en-US" w:eastAsia="zh-CN"/>
        </w:rPr>
      </w:pPr>
    </w:p>
    <w:p w14:paraId="3FBB0D5B">
      <w:pPr>
        <w:wordWrap w:val="0"/>
        <w:topLinePunct/>
        <w:spacing w:line="360" w:lineRule="auto"/>
        <w:rPr>
          <w:rFonts w:hint="default" w:ascii="仿宋" w:hAnsi="仿宋" w:eastAsia="仿宋" w:cs="仿宋"/>
          <w:sz w:val="24"/>
          <w:szCs w:val="24"/>
          <w:lang w:val="en-US" w:eastAsia="zh-CN"/>
        </w:rPr>
      </w:pPr>
    </w:p>
    <w:tbl>
      <w:tblPr>
        <w:tblStyle w:val="8"/>
        <w:tblpPr w:leftFromText="180" w:rightFromText="180" w:vertAnchor="text" w:horzAnchor="page" w:tblpX="1835" w:tblpY="639"/>
        <w:tblOverlap w:val="never"/>
        <w:tblW w:w="8345"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519"/>
        <w:gridCol w:w="920"/>
        <w:gridCol w:w="5906"/>
      </w:tblGrid>
      <w:tr w14:paraId="658A6E6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0"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7569C27B">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评审内容</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16C8D474">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分值</w:t>
            </w:r>
          </w:p>
        </w:tc>
        <w:tc>
          <w:tcPr>
            <w:tcW w:w="5906" w:type="dxa"/>
            <w:tcBorders>
              <w:top w:val="outset" w:color="auto" w:sz="6" w:space="0"/>
              <w:left w:val="outset" w:color="auto" w:sz="6" w:space="0"/>
              <w:bottom w:val="outset" w:color="auto" w:sz="6" w:space="0"/>
              <w:right w:val="outset" w:color="auto" w:sz="6" w:space="0"/>
            </w:tcBorders>
            <w:noWrap w:val="0"/>
            <w:vAlign w:val="center"/>
          </w:tcPr>
          <w:p w14:paraId="0FC08A94">
            <w:pPr>
              <w:keepNext w:val="0"/>
              <w:keepLines w:val="0"/>
              <w:pageBreakBefore w:val="0"/>
              <w:widowControl w:val="0"/>
              <w:kinsoku/>
              <w:wordWrap w:val="0"/>
              <w:overflowPunct/>
              <w:topLinePunct/>
              <w:autoSpaceDE/>
              <w:autoSpaceDN/>
              <w:bidi w:val="0"/>
              <w:adjustRightInd/>
              <w:snapToGrid w:val="0"/>
              <w:spacing w:line="276" w:lineRule="auto"/>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评审标准</w:t>
            </w:r>
          </w:p>
        </w:tc>
      </w:tr>
      <w:tr w14:paraId="2F28DAA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101"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0897B761">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产品生产工艺</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08B53CD8">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8分</w:t>
            </w:r>
          </w:p>
        </w:tc>
        <w:tc>
          <w:tcPr>
            <w:tcW w:w="5906" w:type="dxa"/>
            <w:tcBorders>
              <w:top w:val="outset" w:color="auto" w:sz="6" w:space="0"/>
              <w:left w:val="outset" w:color="auto" w:sz="6" w:space="0"/>
              <w:bottom w:val="outset" w:color="auto" w:sz="6" w:space="0"/>
              <w:right w:val="outset" w:color="auto" w:sz="6" w:space="0"/>
            </w:tcBorders>
            <w:noWrap w:val="0"/>
            <w:vAlign w:val="top"/>
          </w:tcPr>
          <w:p w14:paraId="0DE44455">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根据供应商在响应文件中提供的产品生产工艺的相关说明及图片，包括生产过程控制、生产工艺的情况，生产线设备的配备等内容进行评分：</w:t>
            </w:r>
          </w:p>
          <w:p w14:paraId="762F5D4D">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(1)内容详实，产品质量、规格、生产工艺完美，完全符合项目要求的得8分；</w:t>
            </w:r>
          </w:p>
          <w:p w14:paraId="682B4EEA">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(2)内容较完整，产品质量、规格、生产工艺良好，符合项目要求的得7-4分；</w:t>
            </w:r>
          </w:p>
          <w:p w14:paraId="062E48F2">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(3)内容待提升，产品质量、规格、生产工艺有待提升的得3-1分；</w:t>
            </w:r>
          </w:p>
          <w:p w14:paraId="4641F5A6">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(4)未提供相关内容的不得分。</w:t>
            </w:r>
          </w:p>
        </w:tc>
      </w:tr>
      <w:tr w14:paraId="6893EAC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0AA81ACC">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样品设计方案</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2981331B">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15分</w:t>
            </w:r>
          </w:p>
        </w:tc>
        <w:tc>
          <w:tcPr>
            <w:tcW w:w="5906" w:type="dxa"/>
            <w:tcBorders>
              <w:top w:val="outset" w:color="auto" w:sz="6" w:space="0"/>
              <w:left w:val="outset" w:color="auto" w:sz="6" w:space="0"/>
              <w:bottom w:val="outset" w:color="auto" w:sz="6" w:space="0"/>
              <w:right w:val="outset" w:color="auto" w:sz="6" w:space="0"/>
            </w:tcBorders>
            <w:noWrap w:val="0"/>
            <w:vAlign w:val="top"/>
          </w:tcPr>
          <w:p w14:paraId="18910473">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针对本项目特点与要求提供样品</w:t>
            </w:r>
            <w:r>
              <w:rPr>
                <w:rFonts w:hint="eastAsia" w:ascii="仿宋" w:hAnsi="仿宋" w:eastAsia="仿宋" w:cs="仿宋"/>
                <w:b w:val="0"/>
                <w:bCs w:val="0"/>
                <w:color w:val="FF0000"/>
                <w:sz w:val="21"/>
                <w:szCs w:val="21"/>
                <w:highlight w:val="none"/>
                <w:lang w:val="en-US" w:eastAsia="zh-CN"/>
              </w:rPr>
              <w:t>定制</w:t>
            </w:r>
            <w:r>
              <w:rPr>
                <w:rFonts w:hint="eastAsia" w:ascii="仿宋" w:hAnsi="仿宋" w:eastAsia="仿宋" w:cs="仿宋"/>
                <w:sz w:val="21"/>
                <w:szCs w:val="21"/>
                <w:highlight w:val="none"/>
                <w:lang w:val="en-US" w:eastAsia="zh-CN"/>
              </w:rPr>
              <w:t>设计方案说明或产品彩页图片等，包括但不限于方案的设计理念、产品外观、专属标签设计等进行评分：</w:t>
            </w:r>
          </w:p>
          <w:p w14:paraId="6EA070E4">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(1)方案完整详细，可行性、实用性、针对性强，得15分；</w:t>
            </w:r>
          </w:p>
          <w:p w14:paraId="0C32331F">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(2)方案适合本项目采购需求，具有可行性、实用性和针对性，得14-8分；</w:t>
            </w:r>
          </w:p>
          <w:p w14:paraId="614F3D7E">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(3)方案基本适合本项目采购需求，可行性、实用性、针对性有待改善，得7-1分；</w:t>
            </w:r>
          </w:p>
          <w:p w14:paraId="1F28991F">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(4)方案不可行或者未提供相关内容的不得分。</w:t>
            </w:r>
          </w:p>
          <w:p w14:paraId="1CED9980">
            <w:pPr>
              <w:shd w:val="clear" w:color="auto" w:fill="auto"/>
              <w:ind w:left="0" w:leftChars="0" w:right="0" w:rightChars="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b/>
                <w:bCs/>
                <w:sz w:val="21"/>
                <w:szCs w:val="21"/>
                <w:highlight w:val="none"/>
                <w:lang w:val="en-US" w:eastAsia="zh-CN"/>
              </w:rPr>
              <w:t>注：设计方案为供应商设计，不得使用他人设计的方案，供应商提供设计方案及承诺函，否则本项不得分。</w:t>
            </w:r>
          </w:p>
        </w:tc>
      </w:tr>
      <w:tr w14:paraId="40DA255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7EC6CA64">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质量保障方案</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27730B41">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12分</w:t>
            </w:r>
          </w:p>
        </w:tc>
        <w:tc>
          <w:tcPr>
            <w:tcW w:w="5906" w:type="dxa"/>
            <w:tcBorders>
              <w:top w:val="outset" w:color="auto" w:sz="6" w:space="0"/>
              <w:left w:val="outset" w:color="auto" w:sz="6" w:space="0"/>
              <w:bottom w:val="outset" w:color="auto" w:sz="6" w:space="0"/>
              <w:right w:val="outset" w:color="auto" w:sz="6" w:space="0"/>
            </w:tcBorders>
            <w:noWrap w:val="0"/>
            <w:vAlign w:val="top"/>
          </w:tcPr>
          <w:p w14:paraId="0888FD8E">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根据供应商提供的质量保障方案（包括：质量保障承诺和具体措施等），进行评分：</w:t>
            </w:r>
          </w:p>
          <w:p w14:paraId="3C88017A">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（1）方案内容完整、详尽细致；可行性、针对性强的，得12分；</w:t>
            </w:r>
          </w:p>
          <w:p w14:paraId="1BBEDB99">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（2）方案内容完整；具有可行性和针对性的，得11-6分；</w:t>
            </w:r>
          </w:p>
          <w:p w14:paraId="553B3A88">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（3）方案内容基本适合本项目采购需求，可行性、针对性有待改善的，得5-1分；</w:t>
            </w:r>
          </w:p>
          <w:p w14:paraId="51989D9E">
            <w:pPr>
              <w:shd w:val="clear" w:color="auto" w:fill="auto"/>
              <w:ind w:left="0" w:leftChars="0" w:right="0" w:rightChars="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highlight w:val="none"/>
                <w:lang w:val="en-US" w:eastAsia="zh-CN"/>
              </w:rPr>
              <w:t>（4）方案不可行或者未提供相关内容的不得分。</w:t>
            </w:r>
          </w:p>
        </w:tc>
      </w:tr>
      <w:tr w14:paraId="69E0EE5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355"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2AC6D25D">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供货方案</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37DECFAB">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7分</w:t>
            </w:r>
          </w:p>
        </w:tc>
        <w:tc>
          <w:tcPr>
            <w:tcW w:w="5906" w:type="dxa"/>
            <w:tcBorders>
              <w:top w:val="outset" w:color="auto" w:sz="6" w:space="0"/>
              <w:left w:val="outset" w:color="auto" w:sz="6" w:space="0"/>
              <w:bottom w:val="outset" w:color="auto" w:sz="6" w:space="0"/>
              <w:right w:val="outset" w:color="auto" w:sz="6" w:space="0"/>
            </w:tcBorders>
            <w:noWrap w:val="0"/>
            <w:vAlign w:val="center"/>
          </w:tcPr>
          <w:p w14:paraId="14FAA4D2">
            <w:pPr>
              <w:bidi w:val="0"/>
              <w:jc w:val="left"/>
              <w:rPr>
                <w:rFonts w:hint="eastAsia" w:ascii="仿宋" w:hAnsi="仿宋" w:eastAsia="仿宋" w:cs="仿宋"/>
                <w:lang w:val="en-US" w:eastAsia="zh-CN"/>
              </w:rPr>
            </w:pPr>
            <w:r>
              <w:rPr>
                <w:rFonts w:hint="eastAsia" w:ascii="仿宋" w:hAnsi="仿宋" w:eastAsia="仿宋" w:cs="仿宋"/>
                <w:lang w:val="en-US" w:eastAsia="zh-CN"/>
              </w:rPr>
              <w:t>根据供应商提供的供货方案（包括但不限于进度计划、人员安排、人员管理措施、现场维护等）情况，进行评分：</w:t>
            </w:r>
          </w:p>
          <w:p w14:paraId="4E02C4AA">
            <w:pPr>
              <w:bidi w:val="0"/>
              <w:rPr>
                <w:rFonts w:hint="eastAsia" w:ascii="仿宋" w:hAnsi="仿宋" w:eastAsia="仿宋" w:cs="仿宋"/>
                <w:lang w:val="en-US" w:eastAsia="zh-CN"/>
              </w:rPr>
            </w:pPr>
            <w:r>
              <w:rPr>
                <w:rFonts w:hint="eastAsia" w:ascii="仿宋" w:hAnsi="仿宋" w:eastAsia="仿宋" w:cs="仿宋"/>
                <w:lang w:val="en-US" w:eastAsia="zh-CN"/>
              </w:rPr>
              <w:t>（1）供货方案完整详细，可行性、实用性、针对性强，得 7分；</w:t>
            </w:r>
          </w:p>
          <w:p w14:paraId="4ADBB048">
            <w:pPr>
              <w:bidi w:val="0"/>
              <w:rPr>
                <w:rFonts w:hint="eastAsia" w:ascii="仿宋" w:hAnsi="仿宋" w:eastAsia="仿宋" w:cs="仿宋"/>
                <w:lang w:val="en-US" w:eastAsia="zh-CN"/>
              </w:rPr>
            </w:pPr>
            <w:r>
              <w:rPr>
                <w:rFonts w:hint="eastAsia" w:ascii="仿宋" w:hAnsi="仿宋" w:eastAsia="仿宋" w:cs="仿宋"/>
                <w:lang w:val="en-US" w:eastAsia="zh-CN"/>
              </w:rPr>
              <w:t>（2）供货方案完整详细，具有可行性、实用性和针对性，得6-4分；</w:t>
            </w:r>
          </w:p>
          <w:p w14:paraId="69AEE801">
            <w:pPr>
              <w:bidi w:val="0"/>
              <w:rPr>
                <w:rFonts w:hint="eastAsia" w:ascii="仿宋" w:hAnsi="仿宋" w:eastAsia="仿宋" w:cs="仿宋"/>
                <w:lang w:val="en-US" w:eastAsia="zh-CN"/>
              </w:rPr>
            </w:pPr>
            <w:r>
              <w:rPr>
                <w:rFonts w:hint="eastAsia" w:ascii="仿宋" w:hAnsi="仿宋" w:eastAsia="仿宋" w:cs="仿宋"/>
                <w:lang w:val="en-US" w:eastAsia="zh-CN"/>
              </w:rPr>
              <w:t>（3）供货方案可行性、实用性、针对性有待改善，得 3-1分；</w:t>
            </w:r>
          </w:p>
          <w:p w14:paraId="30D30BA0">
            <w:pPr>
              <w:bidi w:val="0"/>
              <w:rPr>
                <w:rFonts w:hint="eastAsia" w:ascii="仿宋" w:hAnsi="仿宋" w:eastAsia="仿宋" w:cs="仿宋"/>
                <w:szCs w:val="21"/>
                <w:lang w:val="en-US" w:eastAsia="zh-CN"/>
              </w:rPr>
            </w:pPr>
            <w:r>
              <w:rPr>
                <w:rFonts w:hint="eastAsia" w:ascii="仿宋" w:hAnsi="仿宋" w:eastAsia="仿宋" w:cs="仿宋"/>
                <w:lang w:val="en-US" w:eastAsia="zh-CN"/>
              </w:rPr>
              <w:t>（4）方案不可行或者未提供相关内容的不得分</w:t>
            </w:r>
            <w:r>
              <w:rPr>
                <w:rFonts w:hint="eastAsia" w:ascii="仿宋" w:hAnsi="仿宋" w:eastAsia="仿宋" w:cs="仿宋"/>
                <w:szCs w:val="21"/>
                <w:highlight w:val="none"/>
                <w:lang w:val="en-US" w:eastAsia="zh-CN"/>
              </w:rPr>
              <w:t>。</w:t>
            </w:r>
          </w:p>
        </w:tc>
      </w:tr>
      <w:tr w14:paraId="02972BE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0"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3D188DFE">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进度保障措施方案</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17051951">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5分</w:t>
            </w:r>
          </w:p>
        </w:tc>
        <w:tc>
          <w:tcPr>
            <w:tcW w:w="5906" w:type="dxa"/>
            <w:tcBorders>
              <w:top w:val="outset" w:color="auto" w:sz="6" w:space="0"/>
              <w:left w:val="outset" w:color="auto" w:sz="6" w:space="0"/>
              <w:bottom w:val="outset" w:color="auto" w:sz="6" w:space="0"/>
              <w:right w:val="outset" w:color="auto" w:sz="6" w:space="0"/>
            </w:tcBorders>
            <w:noWrap w:val="0"/>
            <w:vAlign w:val="center"/>
          </w:tcPr>
          <w:p w14:paraId="2B265807">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根据供应商针对本项目提供的进度保障措施方案进行评审:</w:t>
            </w:r>
          </w:p>
          <w:p w14:paraId="24DD8C39">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(1)方案内容详细完整，可行性、实用性和针对性强的,得 5分；</w:t>
            </w:r>
          </w:p>
          <w:p w14:paraId="5826299A">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(2)方案内容完整，具有可行性、实用性和针对性的，得4-3分；</w:t>
            </w:r>
          </w:p>
          <w:p w14:paraId="005C6932">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(3)方案内容基本适合采购需求，可行性、实用性和针对性有待改善的，得2-</w:t>
            </w:r>
            <w:r>
              <w:rPr>
                <w:rFonts w:hint="eastAsia" w:ascii="仿宋" w:hAnsi="仿宋" w:eastAsia="仿宋" w:cs="仿宋"/>
                <w:sz w:val="21"/>
                <w:szCs w:val="21"/>
                <w:lang w:val="en-US" w:eastAsia="zh-CN"/>
              </w:rPr>
              <w:t>1</w:t>
            </w:r>
            <w:r>
              <w:rPr>
                <w:rFonts w:hint="eastAsia" w:ascii="仿宋" w:hAnsi="仿宋" w:eastAsia="仿宋" w:cs="仿宋"/>
                <w:sz w:val="21"/>
                <w:szCs w:val="21"/>
                <w:highlight w:val="none"/>
                <w:lang w:val="en-US" w:eastAsia="zh-CN"/>
              </w:rPr>
              <w:t>分；</w:t>
            </w:r>
          </w:p>
          <w:p w14:paraId="1B8F33B4">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(4)方案不可行或者未提供相关内容的不得分。</w:t>
            </w:r>
            <w:bookmarkStart w:id="0" w:name="_GoBack"/>
            <w:bookmarkEnd w:id="0"/>
          </w:p>
        </w:tc>
      </w:tr>
      <w:tr w14:paraId="0FBEB94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0"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008C1110">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体系认证</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30F8ADF9">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9分</w:t>
            </w:r>
          </w:p>
        </w:tc>
        <w:tc>
          <w:tcPr>
            <w:tcW w:w="5906" w:type="dxa"/>
            <w:tcBorders>
              <w:top w:val="outset" w:color="auto" w:sz="6" w:space="0"/>
              <w:left w:val="outset" w:color="auto" w:sz="6" w:space="0"/>
              <w:bottom w:val="outset" w:color="auto" w:sz="6" w:space="0"/>
              <w:right w:val="outset" w:color="auto" w:sz="6" w:space="0"/>
            </w:tcBorders>
            <w:noWrap w:val="0"/>
            <w:vAlign w:val="top"/>
          </w:tcPr>
          <w:p w14:paraId="606C2514">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供应商具有经中国国家认证认可监督管理委员会认可的认证机构颁发有效的下列证书： </w:t>
            </w:r>
          </w:p>
          <w:p w14:paraId="300073FF">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1、质量管理体系认证证书； </w:t>
            </w:r>
          </w:p>
          <w:p w14:paraId="214F80F9">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2、职业健康安全管理体系认证证书； </w:t>
            </w:r>
          </w:p>
          <w:p w14:paraId="39B373CB">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3、环境管理体系认证证书。 </w:t>
            </w:r>
          </w:p>
          <w:p w14:paraId="54F4D85C">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每提供一个认证证书得3分，最高得9分。 </w:t>
            </w:r>
          </w:p>
          <w:p w14:paraId="061C102F">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注：响应文件中提供上述证书扫描件，以及全国认证认可信息公共服务平台官网证书信息查询截图，未提供或提供不全的不得分。</w:t>
            </w:r>
          </w:p>
        </w:tc>
      </w:tr>
      <w:tr w14:paraId="37B3420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0" w:hRule="atLeast"/>
        </w:trPr>
        <w:tc>
          <w:tcPr>
            <w:tcW w:w="1519" w:type="dxa"/>
            <w:tcBorders>
              <w:top w:val="outset" w:color="auto" w:sz="6" w:space="0"/>
              <w:left w:val="outset" w:color="auto" w:sz="6" w:space="0"/>
              <w:bottom w:val="outset" w:color="auto" w:sz="6" w:space="0"/>
              <w:right w:val="outset" w:color="auto" w:sz="6" w:space="0"/>
            </w:tcBorders>
            <w:noWrap w:val="0"/>
            <w:vAlign w:val="top"/>
          </w:tcPr>
          <w:p w14:paraId="0FF10EDD">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p>
          <w:p w14:paraId="7E9589C9">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p>
          <w:p w14:paraId="25E73FB5">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p>
          <w:p w14:paraId="08AF094D">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应急预案</w:t>
            </w:r>
          </w:p>
        </w:tc>
        <w:tc>
          <w:tcPr>
            <w:tcW w:w="920" w:type="dxa"/>
            <w:tcBorders>
              <w:top w:val="outset" w:color="auto" w:sz="6" w:space="0"/>
              <w:left w:val="outset" w:color="auto" w:sz="6" w:space="0"/>
              <w:bottom w:val="outset" w:color="auto" w:sz="6" w:space="0"/>
              <w:right w:val="outset" w:color="auto" w:sz="6" w:space="0"/>
            </w:tcBorders>
            <w:noWrap w:val="0"/>
            <w:vAlign w:val="top"/>
          </w:tcPr>
          <w:p w14:paraId="3C13F865">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p>
          <w:p w14:paraId="2C67871C">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p>
          <w:p w14:paraId="5C0584E5">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p>
          <w:p w14:paraId="584C122F">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5分</w:t>
            </w:r>
          </w:p>
        </w:tc>
        <w:tc>
          <w:tcPr>
            <w:tcW w:w="5906" w:type="dxa"/>
            <w:tcBorders>
              <w:top w:val="outset" w:color="auto" w:sz="6" w:space="0"/>
              <w:left w:val="outset" w:color="auto" w:sz="6" w:space="0"/>
              <w:bottom w:val="outset" w:color="auto" w:sz="6" w:space="0"/>
              <w:right w:val="outset" w:color="auto" w:sz="6" w:space="0"/>
            </w:tcBorders>
            <w:noWrap w:val="0"/>
            <w:vAlign w:val="top"/>
          </w:tcPr>
          <w:p w14:paraId="294BB907">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针对本项目内容制定的应急预案。                    </w:t>
            </w:r>
          </w:p>
          <w:p w14:paraId="01CA6712">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(1)项目方案内容详细、思路清晰，进度安排合理，完全贴合采购需求的，得5分；</w:t>
            </w:r>
          </w:p>
          <w:p w14:paraId="1E3A2E96">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(2)项目方案内容较详细、思路较清晰，进度安排较合理，基本贴合采购需求的，得4-3分；</w:t>
            </w:r>
          </w:p>
          <w:p w14:paraId="3830014F">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(3)项目方案内容有待改进，部分贴合采购需求的得</w:t>
            </w:r>
            <w:r>
              <w:rPr>
                <w:rFonts w:hint="eastAsia" w:ascii="仿宋" w:hAnsi="仿宋" w:eastAsia="仿宋" w:cs="仿宋"/>
                <w:sz w:val="21"/>
                <w:szCs w:val="21"/>
                <w:lang w:val="en-US" w:eastAsia="zh-CN"/>
              </w:rPr>
              <w:t>2-1</w:t>
            </w:r>
            <w:r>
              <w:rPr>
                <w:rFonts w:hint="eastAsia" w:ascii="仿宋" w:hAnsi="仿宋" w:eastAsia="仿宋" w:cs="仿宋"/>
                <w:sz w:val="21"/>
                <w:szCs w:val="21"/>
                <w:highlight w:val="none"/>
                <w:lang w:val="en-US" w:eastAsia="zh-CN"/>
              </w:rPr>
              <w:t>分；    (4)方案不可行或者未提供相关内容的不得分。</w:t>
            </w:r>
          </w:p>
        </w:tc>
      </w:tr>
      <w:tr w14:paraId="523E7C8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0"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57F0B1E4">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售后服务方案</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61B16639">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7分</w:t>
            </w:r>
          </w:p>
        </w:tc>
        <w:tc>
          <w:tcPr>
            <w:tcW w:w="5906" w:type="dxa"/>
            <w:tcBorders>
              <w:top w:val="outset" w:color="auto" w:sz="6" w:space="0"/>
              <w:left w:val="outset" w:color="auto" w:sz="6" w:space="0"/>
              <w:bottom w:val="outset" w:color="auto" w:sz="6" w:space="0"/>
              <w:right w:val="outset" w:color="auto" w:sz="6" w:space="0"/>
            </w:tcBorders>
            <w:noWrap w:val="0"/>
            <w:vAlign w:val="center"/>
          </w:tcPr>
          <w:p w14:paraId="77C9FD47">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根据供应商提供的售后服务方案(包括:服务承诺、保证措施、后续的定制服务支持等)进行评审:</w:t>
            </w:r>
          </w:p>
          <w:p w14:paraId="270E9A2B">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(1)方案内容完整、详尽细致;可行性、针对性强的得7分；</w:t>
            </w:r>
          </w:p>
          <w:p w14:paraId="52475FAF">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(2)方案内容完整;具有可行性和针对性的，得6-4分；</w:t>
            </w:r>
          </w:p>
          <w:p w14:paraId="5C390FFE">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(3)方案内容基本适合本项目采购需求，可行性、针对性有待改善的，得</w:t>
            </w:r>
            <w:r>
              <w:rPr>
                <w:rFonts w:hint="eastAsia" w:ascii="仿宋" w:hAnsi="仿宋" w:eastAsia="仿宋" w:cs="仿宋"/>
                <w:sz w:val="21"/>
                <w:szCs w:val="21"/>
                <w:lang w:val="en-US" w:eastAsia="zh-CN"/>
              </w:rPr>
              <w:t>3-1</w:t>
            </w:r>
            <w:r>
              <w:rPr>
                <w:rFonts w:hint="eastAsia" w:ascii="仿宋" w:hAnsi="仿宋" w:eastAsia="仿宋" w:cs="仿宋"/>
                <w:sz w:val="21"/>
                <w:szCs w:val="21"/>
                <w:highlight w:val="none"/>
                <w:lang w:val="en-US" w:eastAsia="zh-CN"/>
              </w:rPr>
              <w:t>分；</w:t>
            </w:r>
          </w:p>
          <w:p w14:paraId="386DF92A">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(4)方案不可行或者未提供相关内容的不得分。</w:t>
            </w:r>
          </w:p>
        </w:tc>
      </w:tr>
      <w:tr w14:paraId="0AB2F4A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0"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0CD1BF7D">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配送时效</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1945FBE6">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5分</w:t>
            </w:r>
          </w:p>
        </w:tc>
        <w:tc>
          <w:tcPr>
            <w:tcW w:w="5906" w:type="dxa"/>
            <w:tcBorders>
              <w:top w:val="outset" w:color="auto" w:sz="6" w:space="0"/>
              <w:left w:val="outset" w:color="auto" w:sz="6" w:space="0"/>
              <w:bottom w:val="outset" w:color="auto" w:sz="6" w:space="0"/>
              <w:right w:val="outset" w:color="auto" w:sz="6" w:space="0"/>
            </w:tcBorders>
            <w:noWrap w:val="0"/>
            <w:vAlign w:val="center"/>
          </w:tcPr>
          <w:p w14:paraId="10C75F7F">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根据供应商提供的供应链管理和物流配送能力(包括:覆盖区域及配送时效等)进行评审:</w:t>
            </w:r>
          </w:p>
          <w:p w14:paraId="328F9857">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(1)内容完整、详尽细致，承诺在24小时内配送到的，得5分；</w:t>
            </w:r>
          </w:p>
          <w:p w14:paraId="6EC42F0E">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(2)内容完整;具有可行性和针对性的，承诺在48小时内配送到的，得</w:t>
            </w:r>
            <w:r>
              <w:rPr>
                <w:rFonts w:hint="eastAsia" w:ascii="仿宋" w:hAnsi="仿宋" w:eastAsia="仿宋" w:cs="仿宋"/>
                <w:sz w:val="21"/>
                <w:szCs w:val="21"/>
                <w:lang w:val="en-US" w:eastAsia="zh-CN"/>
              </w:rPr>
              <w:t>4-3</w:t>
            </w:r>
            <w:r>
              <w:rPr>
                <w:rFonts w:hint="eastAsia" w:ascii="仿宋" w:hAnsi="仿宋" w:eastAsia="仿宋" w:cs="仿宋"/>
                <w:sz w:val="21"/>
                <w:szCs w:val="21"/>
                <w:highlight w:val="none"/>
                <w:lang w:val="en-US" w:eastAsia="zh-CN"/>
              </w:rPr>
              <w:t>分；</w:t>
            </w:r>
          </w:p>
          <w:p w14:paraId="3020F090">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(3)方案内容基本适合本项目采购需求，可行性、针对性有待改善的，承诺在72小时及以上配送到的，得</w:t>
            </w:r>
            <w:r>
              <w:rPr>
                <w:rFonts w:hint="eastAsia" w:ascii="仿宋" w:hAnsi="仿宋" w:eastAsia="仿宋" w:cs="仿宋"/>
                <w:sz w:val="21"/>
                <w:szCs w:val="21"/>
                <w:lang w:val="en-US" w:eastAsia="zh-CN"/>
              </w:rPr>
              <w:t>2-1</w:t>
            </w:r>
            <w:r>
              <w:rPr>
                <w:rFonts w:hint="eastAsia" w:ascii="仿宋" w:hAnsi="仿宋" w:eastAsia="仿宋" w:cs="仿宋"/>
                <w:sz w:val="21"/>
                <w:szCs w:val="21"/>
                <w:highlight w:val="none"/>
                <w:lang w:val="en-US" w:eastAsia="zh-CN"/>
              </w:rPr>
              <w:t>分；</w:t>
            </w:r>
          </w:p>
          <w:p w14:paraId="359DBA00">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(4)方案不可行或者未提供相关内容的不得分。</w:t>
            </w:r>
          </w:p>
        </w:tc>
      </w:tr>
    </w:tbl>
    <w:p w14:paraId="746CD19E">
      <w:pPr>
        <w:wordWrap w:val="0"/>
        <w:topLinePunct/>
        <w:snapToGrid w:val="0"/>
        <w:spacing w:line="360" w:lineRule="auto"/>
        <w:ind w:firstLine="480" w:firstLineChars="200"/>
        <w:rPr>
          <w:rFonts w:hint="eastAsia" w:ascii="仿宋" w:hAnsi="仿宋" w:eastAsia="仿宋" w:cs="仿宋"/>
          <w:sz w:val="24"/>
          <w:szCs w:val="24"/>
          <w:lang w:val="en-US" w:eastAsia="zh-CN"/>
        </w:rPr>
      </w:pPr>
    </w:p>
    <w:p w14:paraId="44F49923">
      <w:pPr>
        <w:numPr>
          <w:ilvl w:val="0"/>
          <w:numId w:val="0"/>
        </w:numPr>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rPr>
        <w:t>中标结果公告</w:t>
      </w:r>
    </w:p>
    <w:p w14:paraId="0A85F6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i w:val="0"/>
          <w:iCs w:val="0"/>
          <w:caps w:val="0"/>
          <w:color w:val="222222"/>
          <w:spacing w:val="0"/>
          <w:sz w:val="24"/>
          <w:szCs w:val="24"/>
          <w:shd w:val="clear" w:fill="FFFFFF"/>
          <w:lang w:val="en-US" w:eastAsia="zh-CN"/>
        </w:rPr>
        <w:t>在公司网站发布中标公告，公示期1天，</w:t>
      </w:r>
      <w:r>
        <w:rPr>
          <w:rFonts w:hint="eastAsia" w:ascii="仿宋" w:hAnsi="仿宋" w:eastAsia="仿宋" w:cs="仿宋"/>
          <w:i w:val="0"/>
          <w:iCs w:val="0"/>
          <w:caps w:val="0"/>
          <w:color w:val="222222"/>
          <w:spacing w:val="0"/>
          <w:sz w:val="24"/>
          <w:szCs w:val="24"/>
          <w:shd w:val="clear" w:fill="FFFFFF"/>
        </w:rPr>
        <w:t>中标公示结束后，</w:t>
      </w:r>
      <w:r>
        <w:rPr>
          <w:rFonts w:hint="eastAsia" w:ascii="仿宋" w:hAnsi="仿宋" w:eastAsia="仿宋" w:cs="仿宋"/>
          <w:sz w:val="24"/>
          <w:szCs w:val="24"/>
        </w:rPr>
        <w:t>采购人自成交结果公示结束之日起 3 个工作日内向</w:t>
      </w:r>
      <w:r>
        <w:rPr>
          <w:rFonts w:hint="eastAsia" w:ascii="仿宋" w:hAnsi="仿宋" w:eastAsia="仿宋" w:cs="仿宋"/>
          <w:sz w:val="24"/>
          <w:szCs w:val="24"/>
          <w:lang w:val="en-US" w:eastAsia="zh-CN"/>
        </w:rPr>
        <w:t>中标人</w:t>
      </w:r>
      <w:r>
        <w:rPr>
          <w:rFonts w:hint="eastAsia" w:ascii="仿宋" w:hAnsi="仿宋" w:eastAsia="仿宋" w:cs="仿宋"/>
          <w:sz w:val="24"/>
          <w:szCs w:val="24"/>
        </w:rPr>
        <w:t>发出《</w:t>
      </w:r>
      <w:r>
        <w:rPr>
          <w:rFonts w:hint="eastAsia" w:ascii="仿宋" w:hAnsi="仿宋" w:eastAsia="仿宋" w:cs="仿宋"/>
          <w:sz w:val="24"/>
          <w:szCs w:val="24"/>
          <w:lang w:val="en-US" w:eastAsia="zh-CN"/>
        </w:rPr>
        <w:t>中标</w:t>
      </w:r>
      <w:r>
        <w:rPr>
          <w:rFonts w:hint="eastAsia" w:ascii="仿宋" w:hAnsi="仿宋" w:eastAsia="仿宋" w:cs="仿宋"/>
          <w:sz w:val="24"/>
          <w:szCs w:val="24"/>
        </w:rPr>
        <w:t>通知书》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中标人</w:t>
      </w:r>
      <w:r>
        <w:rPr>
          <w:rFonts w:hint="eastAsia" w:ascii="仿宋" w:hAnsi="仿宋" w:eastAsia="仿宋" w:cs="仿宋"/>
          <w:sz w:val="24"/>
          <w:szCs w:val="24"/>
        </w:rPr>
        <w:t>应在收到《</w:t>
      </w:r>
      <w:r>
        <w:rPr>
          <w:rFonts w:hint="eastAsia" w:ascii="仿宋" w:hAnsi="仿宋" w:eastAsia="仿宋" w:cs="仿宋"/>
          <w:sz w:val="24"/>
          <w:szCs w:val="24"/>
          <w:lang w:val="en-US" w:eastAsia="zh-CN"/>
        </w:rPr>
        <w:t>中标</w:t>
      </w:r>
      <w:r>
        <w:rPr>
          <w:rFonts w:hint="eastAsia" w:ascii="仿宋" w:hAnsi="仿宋" w:eastAsia="仿宋" w:cs="仿宋"/>
          <w:sz w:val="24"/>
          <w:szCs w:val="24"/>
        </w:rPr>
        <w:t xml:space="preserve">通知书》后 </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 个工作日内与采购人签订合同</w:t>
      </w:r>
      <w:r>
        <w:rPr>
          <w:rFonts w:hint="eastAsia" w:ascii="仿宋" w:hAnsi="仿宋" w:eastAsia="仿宋" w:cs="仿宋"/>
          <w:sz w:val="24"/>
          <w:szCs w:val="24"/>
          <w:lang w:eastAsia="zh-CN"/>
        </w:rPr>
        <w:t>。</w:t>
      </w:r>
    </w:p>
    <w:p w14:paraId="4EADF1C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6164C1"/>
    <w:rsid w:val="018D6CF9"/>
    <w:rsid w:val="150C1E94"/>
    <w:rsid w:val="336164C1"/>
    <w:rsid w:val="47FA3E9F"/>
    <w:rsid w:val="62EA51E0"/>
    <w:rsid w:val="68996CA3"/>
    <w:rsid w:val="6F8C71BA"/>
    <w:rsid w:val="733C4C78"/>
    <w:rsid w:val="73974727"/>
    <w:rsid w:val="76D90BB3"/>
    <w:rsid w:val="7B5130ED"/>
    <w:rsid w:val="7C6A5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szCs w:val="20"/>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rPr>
      <w:kern w:val="0"/>
    </w:rPr>
  </w:style>
  <w:style w:type="paragraph" w:styleId="4">
    <w:name w:val="Body Text Indent"/>
    <w:basedOn w:val="1"/>
    <w:next w:val="5"/>
    <w:qFormat/>
    <w:uiPriority w:val="0"/>
    <w:pPr>
      <w:spacing w:after="120"/>
      <w:ind w:left="200" w:leftChars="200"/>
    </w:pPr>
  </w:style>
  <w:style w:type="paragraph" w:styleId="5">
    <w:name w:val="envelope return"/>
    <w:basedOn w:val="1"/>
    <w:qFormat/>
    <w:uiPriority w:val="0"/>
    <w:pPr>
      <w:snapToGrid w:val="0"/>
    </w:pPr>
    <w:rPr>
      <w:rFonts w:ascii="Arial" w:hAnsi="Arial"/>
    </w:rPr>
  </w:style>
  <w:style w:type="paragraph" w:styleId="6">
    <w:name w:val="index 4"/>
    <w:basedOn w:val="1"/>
    <w:next w:val="1"/>
    <w:qFormat/>
    <w:uiPriority w:val="99"/>
    <w:pPr>
      <w:ind w:left="600" w:leftChars="600"/>
    </w:pPr>
    <w:rPr>
      <w:rFonts w:ascii="Calibri" w:hAnsi="Calibri"/>
      <w:szCs w:val="24"/>
    </w:rPr>
  </w:style>
  <w:style w:type="paragraph" w:styleId="7">
    <w:name w:val="Body Text First Indent 2"/>
    <w:basedOn w:val="4"/>
    <w:next w:val="1"/>
    <w:qFormat/>
    <w:uiPriority w:val="0"/>
    <w:pPr>
      <w:ind w:left="420" w:firstLine="420" w:firstLineChars="200"/>
    </w:pPr>
  </w:style>
  <w:style w:type="paragraph" w:styleId="1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
    <w:name w:val="批注文字1"/>
    <w:basedOn w:val="1"/>
    <w:qFormat/>
    <w:uiPriority w:val="0"/>
    <w:pPr>
      <w:jc w:val="left"/>
    </w:pPr>
    <w:rPr>
      <w:kern w:val="0"/>
    </w:rPr>
  </w:style>
  <w:style w:type="character" w:customStyle="1" w:styleId="13">
    <w:name w:val="font11"/>
    <w:basedOn w:val="9"/>
    <w:qFormat/>
    <w:uiPriority w:val="0"/>
    <w:rPr>
      <w:rFonts w:hint="eastAsia" w:ascii="宋体" w:hAnsi="宋体" w:eastAsia="宋体" w:cs="宋体"/>
      <w:color w:val="000000"/>
      <w:sz w:val="24"/>
      <w:szCs w:val="24"/>
      <w:u w:val="none"/>
    </w:rPr>
  </w:style>
  <w:style w:type="character" w:customStyle="1" w:styleId="14">
    <w:name w:val="font71"/>
    <w:basedOn w:val="9"/>
    <w:qFormat/>
    <w:uiPriority w:val="0"/>
    <w:rPr>
      <w:rFonts w:hint="eastAsia" w:ascii="宋体" w:hAnsi="宋体" w:eastAsia="宋体" w:cs="宋体"/>
      <w:color w:val="FF0000"/>
      <w:sz w:val="24"/>
      <w:szCs w:val="24"/>
      <w:u w:val="none"/>
    </w:rPr>
  </w:style>
  <w:style w:type="character" w:customStyle="1" w:styleId="15">
    <w:name w:val="font31"/>
    <w:basedOn w:val="9"/>
    <w:qFormat/>
    <w:uiPriority w:val="0"/>
    <w:rPr>
      <w:rFonts w:hint="eastAsia" w:ascii="宋体" w:hAnsi="宋体" w:eastAsia="宋体" w:cs="宋体"/>
      <w:color w:val="000000"/>
      <w:sz w:val="24"/>
      <w:szCs w:val="24"/>
      <w:u w:val="none"/>
    </w:rPr>
  </w:style>
  <w:style w:type="paragraph" w:customStyle="1" w:styleId="16">
    <w:name w:val="Table Text"/>
    <w:basedOn w:val="1"/>
    <w:semiHidden/>
    <w:qFormat/>
    <w:uiPriority w:val="0"/>
    <w:pPr>
      <w:autoSpaceDE w:val="0"/>
      <w:autoSpaceDN w:val="0"/>
      <w:jc w:val="left"/>
    </w:pPr>
    <w:rPr>
      <w:rFonts w:ascii="仿宋" w:hAnsi="仿宋" w:eastAsia="仿宋" w:cs="仿宋"/>
      <w:kern w:val="0"/>
      <w:sz w:val="24"/>
      <w:szCs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80</TotalTime>
  <ScaleCrop>false</ScaleCrop>
  <LinksUpToDate>false</LinksUpToDate>
  <CharactersWithSpaces>0</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2025-09-06T12:40:00Z</dcterms:created>
  <dc:creator>CG</dc:creator>
  <cp:lastModifiedBy>CG</cp:lastModifiedBy>
  <dcterms:modified xsi:type="dcterms:W3CDTF">2025-09-07T18:08:27Z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047D6DEAC6454B85954067A88C6CE0AF_11</vt:lpwstr>
  </property>
</Properties>
</file>